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6F645" w14:textId="77777777" w:rsidR="000F5886" w:rsidRDefault="00000000">
      <w:pPr>
        <w:pStyle w:val="Titolo1"/>
        <w:spacing w:before="75"/>
        <w:jc w:val="both"/>
        <w:rPr>
          <w:rFonts w:ascii="Garamond" w:hAnsi="Garamond"/>
          <w:color w:val="313336"/>
          <w:w w:val="105"/>
          <w:sz w:val="22"/>
          <w:szCs w:val="22"/>
        </w:rPr>
      </w:pPr>
      <w:r>
        <w:rPr>
          <w:rFonts w:ascii="Garamond" w:hAnsi="Garamond"/>
          <w:noProof/>
          <w:color w:val="313336"/>
          <w:w w:val="105"/>
          <w:sz w:val="22"/>
          <w:szCs w:val="22"/>
        </w:rPr>
        <mc:AlternateContent>
          <mc:Choice Requires="wps">
            <w:drawing>
              <wp:anchor distT="0" distB="0" distL="0" distR="0" simplePos="0" relativeHeight="12" behindDoc="0" locked="0" layoutInCell="0" allowOverlap="1" wp14:anchorId="341E2408" wp14:editId="03591D87">
                <wp:simplePos x="0" y="0"/>
                <wp:positionH relativeFrom="page">
                  <wp:posOffset>6444615</wp:posOffset>
                </wp:positionH>
                <wp:positionV relativeFrom="page">
                  <wp:posOffset>10376535</wp:posOffset>
                </wp:positionV>
                <wp:extent cx="880110" cy="13970"/>
                <wp:effectExtent l="0" t="0" r="0" b="0"/>
                <wp:wrapNone/>
                <wp:docPr id="1" name="Immagine1"/>
                <wp:cNvGraphicFramePr/>
                <a:graphic xmlns:a="http://schemas.openxmlformats.org/drawingml/2006/main">
                  <a:graphicData uri="http://schemas.microsoft.com/office/word/2010/wordprocessingShape">
                    <wps:wsp>
                      <wps:cNvSpPr/>
                      <wps:spPr>
                        <a:xfrm>
                          <a:off x="0" y="0"/>
                          <a:ext cx="879480" cy="133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Immagine1" path="m0,0l-2147483645,0l-2147483645,-2147483646l0,-2147483646xe" fillcolor="black" stroked="f" style="position:absolute;margin-left:507.45pt;margin-top:817.05pt;width:69.2pt;height:1pt;mso-wrap-style:none;v-text-anchor:middle;mso-position-horizontal-relative:page;mso-position-vertical-relative:page" wp14:anchorId="19BA0180">
                <v:fill o:detectmouseclick="t" type="solid" color2="white"/>
                <v:stroke color="#3465a4" joinstyle="round" endcap="flat"/>
                <w10:wrap type="none"/>
              </v:rect>
            </w:pict>
          </mc:Fallback>
        </mc:AlternateContent>
      </w:r>
    </w:p>
    <w:p w14:paraId="0D5161F9" w14:textId="5BF4B4C9" w:rsidR="009A4706" w:rsidRDefault="00FE432F">
      <w:pPr>
        <w:spacing w:after="200"/>
        <w:ind w:right="-1"/>
        <w:jc w:val="both"/>
        <w:rPr>
          <w:rFonts w:ascii="Garamond" w:hAnsi="Garamond"/>
          <w:b/>
          <w:bCs/>
          <w:color w:val="000000"/>
        </w:rPr>
      </w:pPr>
      <w:r>
        <w:rPr>
          <w:rFonts w:ascii="Garamond" w:hAnsi="Garamond"/>
          <w:b/>
          <w:bCs/>
          <w:color w:val="000000"/>
        </w:rPr>
        <w:t xml:space="preserve">TRATTATIVA DIRETTA su MEPA </w:t>
      </w:r>
      <w:r w:rsidR="009A4706" w:rsidRPr="00FF02EC">
        <w:rPr>
          <w:rFonts w:ascii="Garamond" w:hAnsi="Garamond"/>
          <w:b/>
          <w:bCs/>
          <w:color w:val="000000"/>
        </w:rPr>
        <w:t xml:space="preserve">per </w:t>
      </w:r>
      <w:r w:rsidR="009A4706" w:rsidRPr="0049295D">
        <w:rPr>
          <w:rFonts w:ascii="Garamond" w:hAnsi="Garamond"/>
          <w:b/>
          <w:bCs/>
          <w:color w:val="000000"/>
        </w:rPr>
        <w:t>l’affidamento della fornitura del</w:t>
      </w:r>
      <w:r w:rsidR="000C6907">
        <w:rPr>
          <w:rFonts w:ascii="Garamond" w:hAnsi="Garamond"/>
          <w:b/>
          <w:bCs/>
          <w:color w:val="000000"/>
        </w:rPr>
        <w:t xml:space="preserve"> farmaco </w:t>
      </w:r>
      <w:r w:rsidR="003F31B2">
        <w:rPr>
          <w:rFonts w:ascii="Garamond" w:hAnsi="Garamond"/>
          <w:b/>
          <w:bCs/>
          <w:color w:val="000000"/>
        </w:rPr>
        <w:t>unico KERENDIA (</w:t>
      </w:r>
      <w:proofErr w:type="spellStart"/>
      <w:r w:rsidR="003F31B2">
        <w:rPr>
          <w:rFonts w:ascii="Garamond" w:hAnsi="Garamond"/>
          <w:b/>
          <w:bCs/>
          <w:color w:val="000000"/>
        </w:rPr>
        <w:t>Finerenone</w:t>
      </w:r>
      <w:proofErr w:type="spellEnd"/>
      <w:r w:rsidR="003F31B2">
        <w:rPr>
          <w:rFonts w:ascii="Garamond" w:hAnsi="Garamond"/>
          <w:b/>
          <w:bCs/>
          <w:color w:val="000000"/>
        </w:rPr>
        <w:t>), vari dosaggi</w:t>
      </w:r>
      <w:r w:rsidR="009A4706" w:rsidRPr="0049295D">
        <w:rPr>
          <w:rFonts w:ascii="Garamond" w:hAnsi="Garamond"/>
          <w:b/>
          <w:bCs/>
          <w:color w:val="000000"/>
        </w:rPr>
        <w:t>, ai sensi dell’art. 76, comma 2, lett. b) d. lgs. n. 36/2023.</w:t>
      </w:r>
      <w:r w:rsidR="009A4706">
        <w:rPr>
          <w:rFonts w:ascii="Garamond" w:hAnsi="Garamond"/>
          <w:b/>
          <w:bCs/>
          <w:color w:val="000000"/>
        </w:rPr>
        <w:t xml:space="preserve"> </w:t>
      </w:r>
    </w:p>
    <w:p w14:paraId="46F799BC" w14:textId="134BE85C" w:rsidR="000F5886" w:rsidRDefault="009A4706">
      <w:pPr>
        <w:spacing w:after="200"/>
        <w:ind w:right="-1"/>
        <w:jc w:val="both"/>
        <w:rPr>
          <w:rStyle w:val="Enfasiforte"/>
          <w:rFonts w:ascii="Garamond" w:hAnsi="Garamond" w:cs="Arial"/>
          <w:color w:val="000000"/>
          <w:shd w:val="clear" w:color="auto" w:fill="F9F9F9"/>
        </w:rPr>
      </w:pPr>
      <w:r>
        <w:rPr>
          <w:rFonts w:ascii="Garamond" w:hAnsi="Garamond" w:cs="Arial"/>
          <w:b/>
          <w:bCs/>
          <w:lang w:val="it"/>
        </w:rPr>
        <w:t xml:space="preserve">T.D. </w:t>
      </w:r>
      <w:r w:rsidRPr="009A4706">
        <w:rPr>
          <w:rFonts w:ascii="Garamond" w:hAnsi="Garamond" w:cs="Arial"/>
          <w:b/>
          <w:bCs/>
          <w:lang w:val="it"/>
        </w:rPr>
        <w:t>n.</w:t>
      </w:r>
      <w:r w:rsidR="00035C60">
        <w:rPr>
          <w:rFonts w:ascii="Garamond" w:hAnsi="Garamond"/>
          <w:b/>
          <w:bCs/>
          <w:color w:val="000000"/>
        </w:rPr>
        <w:t xml:space="preserve"> </w:t>
      </w:r>
      <w:r w:rsidR="00F658EF" w:rsidRPr="008A35C3">
        <w:rPr>
          <w:rFonts w:ascii="Garamond" w:hAnsi="Garamond"/>
          <w:b/>
          <w:bCs/>
          <w:color w:val="000000"/>
        </w:rPr>
        <w:t>4567712</w:t>
      </w:r>
      <w:r w:rsidR="00F658EF">
        <w:rPr>
          <w:rFonts w:ascii="Garamond" w:hAnsi="Garamond"/>
          <w:b/>
          <w:bCs/>
          <w:color w:val="000000"/>
        </w:rPr>
        <w:t>/2024</w:t>
      </w:r>
    </w:p>
    <w:p w14:paraId="66B41CE7" w14:textId="03F303C4" w:rsidR="000F5886" w:rsidRPr="00944D7C" w:rsidRDefault="00000000" w:rsidP="009A4706">
      <w:pPr>
        <w:spacing w:after="200"/>
        <w:ind w:right="-1"/>
        <w:jc w:val="both"/>
        <w:rPr>
          <w:rStyle w:val="Carpredefinitoparagrafo1"/>
        </w:rPr>
      </w:pPr>
      <w:proofErr w:type="spellStart"/>
      <w:r w:rsidRPr="00944D7C">
        <w:rPr>
          <w:rFonts w:ascii="Garamond" w:hAnsi="Garamond" w:cs="Arial"/>
          <w:lang w:val="en-US"/>
        </w:rPr>
        <w:t>Importo</w:t>
      </w:r>
      <w:proofErr w:type="spellEnd"/>
      <w:r w:rsidRPr="00944D7C">
        <w:rPr>
          <w:rFonts w:ascii="Garamond" w:hAnsi="Garamond" w:cs="Arial"/>
          <w:lang w:val="en-US"/>
        </w:rPr>
        <w:t xml:space="preserve"> a base </w:t>
      </w:r>
      <w:proofErr w:type="spellStart"/>
      <w:r w:rsidRPr="00944D7C">
        <w:rPr>
          <w:rFonts w:ascii="Garamond" w:hAnsi="Garamond" w:cs="Arial"/>
          <w:lang w:val="en-US"/>
        </w:rPr>
        <w:t>d’asta</w:t>
      </w:r>
      <w:proofErr w:type="spellEnd"/>
      <w:r w:rsidRPr="00944D7C">
        <w:rPr>
          <w:rFonts w:ascii="Garamond" w:hAnsi="Garamond" w:cs="Arial"/>
          <w:lang w:val="en-US"/>
        </w:rPr>
        <w:t xml:space="preserve"> </w:t>
      </w:r>
      <w:bookmarkStart w:id="0" w:name="_Hlk140649605"/>
      <w:r w:rsidR="00FB182B" w:rsidRPr="00944D7C">
        <w:rPr>
          <w:rFonts w:ascii="Garamond" w:hAnsi="Garamond" w:cs="Arial"/>
          <w:lang w:val="en-US"/>
        </w:rPr>
        <w:t>€</w:t>
      </w:r>
      <w:bookmarkEnd w:id="0"/>
      <w:r w:rsidR="0074716C">
        <w:rPr>
          <w:rStyle w:val="Carpredefinitoparagrafo1"/>
        </w:rPr>
        <w:t xml:space="preserve"> </w:t>
      </w:r>
      <w:r w:rsidR="003F31B2">
        <w:rPr>
          <w:rStyle w:val="Carpredefinitoparagrafo1"/>
        </w:rPr>
        <w:t>49.300</w:t>
      </w:r>
      <w:r w:rsidR="0074716C">
        <w:rPr>
          <w:rStyle w:val="Carpredefinitoparagrafo1"/>
        </w:rPr>
        <w:t>,00</w:t>
      </w:r>
    </w:p>
    <w:p w14:paraId="26C5C63A" w14:textId="7A8F8DD1" w:rsidR="000F5886" w:rsidRDefault="00000000">
      <w:pPr>
        <w:jc w:val="both"/>
        <w:rPr>
          <w:rFonts w:ascii="Garamond" w:hAnsi="Garamond"/>
        </w:rPr>
      </w:pPr>
      <w:r>
        <w:rPr>
          <w:rFonts w:ascii="Garamond" w:hAnsi="Garamond" w:cs="Arial"/>
          <w:lang w:val="en-US"/>
        </w:rPr>
        <w:t xml:space="preserve">Termini </w:t>
      </w:r>
      <w:r>
        <w:rPr>
          <w:rFonts w:ascii="Garamond" w:hAnsi="Garamond" w:cs="Arial"/>
        </w:rPr>
        <w:t>per</w:t>
      </w:r>
      <w:r>
        <w:rPr>
          <w:rFonts w:ascii="Garamond" w:hAnsi="Garamond" w:cs="Arial"/>
          <w:lang w:val="en-US"/>
        </w:rPr>
        <w:t xml:space="preserve"> la </w:t>
      </w:r>
      <w:r>
        <w:rPr>
          <w:rFonts w:ascii="Garamond" w:hAnsi="Garamond" w:cs="Arial"/>
        </w:rPr>
        <w:t>presentazione</w:t>
      </w:r>
      <w:r>
        <w:rPr>
          <w:rFonts w:ascii="Garamond" w:hAnsi="Garamond" w:cs="Arial"/>
          <w:lang w:val="en-US"/>
        </w:rPr>
        <w:t xml:space="preserve"> </w:t>
      </w:r>
      <w:proofErr w:type="spellStart"/>
      <w:r>
        <w:rPr>
          <w:rFonts w:ascii="Garamond" w:hAnsi="Garamond" w:cs="Arial"/>
          <w:lang w:val="en-US"/>
        </w:rPr>
        <w:t>dell’offerta</w:t>
      </w:r>
      <w:proofErr w:type="spellEnd"/>
      <w:r>
        <w:rPr>
          <w:rFonts w:ascii="Garamond" w:hAnsi="Garamond" w:cs="Arial"/>
        </w:rPr>
        <w:t xml:space="preserve"> </w:t>
      </w:r>
      <w:r>
        <w:rPr>
          <w:rFonts w:ascii="Garamond" w:hAnsi="Garamond" w:cs="Arial"/>
          <w:b/>
          <w:bCs/>
        </w:rPr>
        <w:t xml:space="preserve">entro e non oltre le ore 12:00 </w:t>
      </w:r>
      <w:r w:rsidR="00807174">
        <w:rPr>
          <w:rFonts w:ascii="Garamond" w:hAnsi="Garamond" w:cs="Arial"/>
          <w:b/>
          <w:bCs/>
        </w:rPr>
        <w:t xml:space="preserve">del </w:t>
      </w:r>
      <w:r w:rsidR="00035C60">
        <w:rPr>
          <w:rFonts w:ascii="Garamond" w:hAnsi="Garamond" w:cs="Arial"/>
          <w:b/>
          <w:bCs/>
        </w:rPr>
        <w:t>0</w:t>
      </w:r>
      <w:r w:rsidR="003F31B2">
        <w:rPr>
          <w:rFonts w:ascii="Garamond" w:hAnsi="Garamond" w:cs="Arial"/>
          <w:b/>
          <w:bCs/>
        </w:rPr>
        <w:t>9</w:t>
      </w:r>
      <w:r w:rsidR="00035C60">
        <w:rPr>
          <w:rFonts w:ascii="Garamond" w:hAnsi="Garamond" w:cs="Arial"/>
          <w:b/>
          <w:bCs/>
        </w:rPr>
        <w:t>/08</w:t>
      </w:r>
      <w:r w:rsidR="00471652">
        <w:rPr>
          <w:rFonts w:ascii="Garamond" w:hAnsi="Garamond" w:cs="Arial"/>
          <w:b/>
          <w:bCs/>
        </w:rPr>
        <w:t>/2024</w:t>
      </w:r>
    </w:p>
    <w:p w14:paraId="0C525FA9" w14:textId="77777777" w:rsidR="000F5886" w:rsidRDefault="00000000">
      <w:pPr>
        <w:jc w:val="both"/>
        <w:rPr>
          <w:rFonts w:ascii="Garamond" w:hAnsi="Garamond"/>
        </w:rPr>
      </w:pPr>
      <w:r>
        <w:rPr>
          <w:rFonts w:ascii="Garamond" w:hAnsi="Garamond" w:cs="Arial"/>
        </w:rPr>
        <w:t>Caratteristiche tecniche minime richieste indicate nell’allegato 2 offerta economica.</w:t>
      </w:r>
    </w:p>
    <w:p w14:paraId="4F2C9FE6" w14:textId="77777777" w:rsidR="000F5886" w:rsidRDefault="000F5886">
      <w:pPr>
        <w:rPr>
          <w:rFonts w:ascii="Garamond" w:hAnsi="Garamond" w:cs="Arial"/>
        </w:rPr>
      </w:pPr>
    </w:p>
    <w:p w14:paraId="7DFF1BA9" w14:textId="7FAF0021" w:rsidR="000F5886" w:rsidRDefault="00000000">
      <w:pPr>
        <w:jc w:val="both"/>
        <w:rPr>
          <w:rFonts w:ascii="Garamond" w:eastAsia="Garamond" w:hAnsi="Garamond" w:cs="Arial"/>
          <w:color w:val="000000"/>
        </w:rPr>
      </w:pPr>
      <w:r>
        <w:rPr>
          <w:rFonts w:ascii="Garamond" w:eastAsia="Garamond" w:hAnsi="Garamond" w:cs="Arial"/>
          <w:color w:val="000000"/>
        </w:rPr>
        <w:t xml:space="preserve">Il Responsabile del procedimento, ai sensi e per gli effetti dell’art. 15, d. lgs. n. 36/2023 è la Dott.ssa </w:t>
      </w:r>
      <w:bookmarkStart w:id="1" w:name="_Ref4985978011"/>
      <w:r w:rsidR="00FB182B">
        <w:rPr>
          <w:rFonts w:ascii="Garamond" w:eastAsia="Garamond" w:hAnsi="Garamond" w:cs="Arial"/>
          <w:color w:val="000000"/>
        </w:rPr>
        <w:t>Serena Vizza.</w:t>
      </w:r>
    </w:p>
    <w:p w14:paraId="3ED50BD2" w14:textId="77777777" w:rsidR="000F5886" w:rsidRDefault="000F5886">
      <w:pPr>
        <w:jc w:val="both"/>
        <w:rPr>
          <w:rFonts w:ascii="Garamond" w:eastAsia="Garamond" w:hAnsi="Garamond" w:cs="Arial"/>
          <w:color w:val="000000"/>
        </w:rPr>
      </w:pPr>
    </w:p>
    <w:p w14:paraId="0E3340A6" w14:textId="77777777" w:rsidR="000F5886" w:rsidRDefault="00000000">
      <w:pPr>
        <w:pStyle w:val="Paragrafoelenco"/>
        <w:numPr>
          <w:ilvl w:val="0"/>
          <w:numId w:val="9"/>
        </w:numPr>
        <w:rPr>
          <w:b/>
          <w:bCs/>
        </w:rPr>
      </w:pPr>
      <w:r>
        <w:rPr>
          <w:rFonts w:cs="Arial"/>
          <w:b/>
          <w:bCs/>
        </w:rPr>
        <w:t>OGGETTO DELL’APPALTO E SUDDIVISIONE IN LOTTI</w:t>
      </w:r>
      <w:bookmarkEnd w:id="1"/>
    </w:p>
    <w:p w14:paraId="79661833" w14:textId="5A9C6C9D" w:rsidR="00502CA7" w:rsidRPr="00502CA7" w:rsidRDefault="00000000" w:rsidP="00EC449E">
      <w:pPr>
        <w:spacing w:after="200"/>
        <w:ind w:right="-1"/>
        <w:jc w:val="both"/>
        <w:rPr>
          <w:rFonts w:ascii="Garamond" w:hAnsi="Garamond"/>
          <w:color w:val="000000"/>
        </w:rPr>
      </w:pPr>
      <w:r w:rsidRPr="00D026DD">
        <w:rPr>
          <w:rFonts w:ascii="Garamond" w:hAnsi="Garamond"/>
        </w:rPr>
        <w:t>L'ASP di Catanzaro vuole provvedere all</w:t>
      </w:r>
      <w:r w:rsidR="007329F2" w:rsidRPr="00D026DD">
        <w:rPr>
          <w:rFonts w:ascii="Garamond" w:hAnsi="Garamond"/>
        </w:rPr>
        <w:t>’</w:t>
      </w:r>
      <w:r w:rsidR="009F24B5">
        <w:rPr>
          <w:rFonts w:ascii="Garamond" w:hAnsi="Garamond"/>
        </w:rPr>
        <w:t>acquisto</w:t>
      </w:r>
      <w:r w:rsidR="00502CA7">
        <w:rPr>
          <w:rFonts w:ascii="Garamond" w:hAnsi="Garamond"/>
        </w:rPr>
        <w:t>,</w:t>
      </w:r>
      <w:r w:rsidR="009F24B5">
        <w:rPr>
          <w:rFonts w:ascii="Garamond" w:hAnsi="Garamond"/>
        </w:rPr>
        <w:t xml:space="preserve"> </w:t>
      </w:r>
      <w:r w:rsidR="00502CA7" w:rsidRPr="00A20BEF">
        <w:rPr>
          <w:rFonts w:ascii="Garamond" w:hAnsi="Garamond"/>
          <w:color w:val="000000"/>
        </w:rPr>
        <w:t xml:space="preserve">ai sensi dell’art. 76, comma 2, lett. b) d. lgs. n. 36/2023, </w:t>
      </w:r>
      <w:r w:rsidR="00EC449E" w:rsidRPr="00502CA7">
        <w:rPr>
          <w:rFonts w:ascii="Garamond" w:hAnsi="Garamond"/>
          <w:color w:val="000000"/>
        </w:rPr>
        <w:t>del farmaco</w:t>
      </w:r>
      <w:r w:rsidR="00035C60">
        <w:rPr>
          <w:rFonts w:ascii="Garamond" w:hAnsi="Garamond"/>
          <w:color w:val="000000"/>
        </w:rPr>
        <w:t xml:space="preserve"> </w:t>
      </w:r>
      <w:r w:rsidR="003F31B2" w:rsidRPr="003F31B2">
        <w:rPr>
          <w:rFonts w:ascii="Garamond" w:hAnsi="Garamond"/>
          <w:b/>
          <w:bCs/>
          <w:color w:val="000000"/>
        </w:rPr>
        <w:t>unico KERENDIA (</w:t>
      </w:r>
      <w:proofErr w:type="spellStart"/>
      <w:r w:rsidR="003F31B2" w:rsidRPr="003F31B2">
        <w:rPr>
          <w:rFonts w:ascii="Garamond" w:hAnsi="Garamond"/>
          <w:b/>
          <w:bCs/>
          <w:color w:val="000000"/>
        </w:rPr>
        <w:t>Finerenone</w:t>
      </w:r>
      <w:proofErr w:type="spellEnd"/>
      <w:r w:rsidR="003F31B2" w:rsidRPr="003F31B2">
        <w:rPr>
          <w:rFonts w:ascii="Garamond" w:hAnsi="Garamond"/>
          <w:b/>
          <w:bCs/>
          <w:color w:val="000000"/>
        </w:rPr>
        <w:t>), vari dosaggi</w:t>
      </w:r>
      <w:r w:rsidR="00F83D3C">
        <w:rPr>
          <w:rFonts w:ascii="Garamond" w:hAnsi="Garamond"/>
          <w:b/>
          <w:bCs/>
          <w:color w:val="000000"/>
        </w:rPr>
        <w:t xml:space="preserve">, </w:t>
      </w:r>
      <w:r w:rsidR="00F83D3C">
        <w:rPr>
          <w:rFonts w:ascii="Garamond" w:hAnsi="Garamond"/>
          <w:color w:val="000000"/>
        </w:rPr>
        <w:t>nella</w:t>
      </w:r>
      <w:r w:rsidR="003F31B2">
        <w:rPr>
          <w:rFonts w:ascii="Garamond" w:hAnsi="Garamond"/>
          <w:color w:val="000000"/>
        </w:rPr>
        <w:t xml:space="preserve"> quantità indicata</w:t>
      </w:r>
      <w:r w:rsidR="00F83D3C">
        <w:rPr>
          <w:rFonts w:ascii="Garamond" w:hAnsi="Garamond"/>
          <w:color w:val="000000"/>
        </w:rPr>
        <w:t xml:space="preserve"> quale</w:t>
      </w:r>
      <w:r w:rsidR="00502CA7" w:rsidRPr="00502CA7">
        <w:rPr>
          <w:rFonts w:ascii="Garamond" w:hAnsi="Garamond"/>
          <w:color w:val="000000"/>
        </w:rPr>
        <w:t xml:space="preserve"> fabbisogno</w:t>
      </w:r>
      <w:r w:rsidR="00F83D3C">
        <w:rPr>
          <w:rFonts w:ascii="Garamond" w:hAnsi="Garamond"/>
          <w:color w:val="000000"/>
        </w:rPr>
        <w:t xml:space="preserve"> </w:t>
      </w:r>
      <w:r w:rsidR="003F31B2">
        <w:rPr>
          <w:rFonts w:ascii="Garamond" w:hAnsi="Garamond"/>
          <w:color w:val="000000"/>
        </w:rPr>
        <w:t>annuale de</w:t>
      </w:r>
      <w:r w:rsidR="00502CA7" w:rsidRPr="00502CA7">
        <w:rPr>
          <w:rFonts w:ascii="Garamond" w:hAnsi="Garamond"/>
          <w:color w:val="000000"/>
        </w:rPr>
        <w:t>lle Farmacie Distrettuali</w:t>
      </w:r>
      <w:r w:rsidR="00B573BF">
        <w:rPr>
          <w:rFonts w:ascii="Garamond" w:hAnsi="Garamond"/>
          <w:color w:val="000000"/>
        </w:rPr>
        <w:t>.</w:t>
      </w:r>
    </w:p>
    <w:p w14:paraId="7844BC75" w14:textId="77777777" w:rsidR="000F5886" w:rsidRDefault="00000000">
      <w:pPr>
        <w:pStyle w:val="Paragrafoelenco"/>
        <w:numPr>
          <w:ilvl w:val="0"/>
          <w:numId w:val="9"/>
        </w:numPr>
      </w:pPr>
      <w:r>
        <w:rPr>
          <w:rFonts w:cs="Arial Narrow"/>
          <w:b/>
          <w:bCs/>
        </w:rPr>
        <w:t>DURATA</w:t>
      </w:r>
    </w:p>
    <w:p w14:paraId="7FFECD23" w14:textId="79ECE7D8" w:rsidR="000F5886" w:rsidRPr="00D026DD" w:rsidRDefault="00000000">
      <w:pPr>
        <w:pStyle w:val="Paragrafoelenco"/>
        <w:ind w:left="0"/>
        <w:rPr>
          <w:rFonts w:cs="Arial Narrow"/>
          <w:sz w:val="22"/>
          <w:szCs w:val="22"/>
        </w:rPr>
      </w:pPr>
      <w:r w:rsidRPr="00D026DD">
        <w:rPr>
          <w:rFonts w:cs="Arial Narrow"/>
          <w:sz w:val="22"/>
          <w:szCs w:val="22"/>
        </w:rPr>
        <w:t xml:space="preserve">La durata dell’appalto (escluse le eventuali opzioni) è di </w:t>
      </w:r>
      <w:r w:rsidR="003F31B2">
        <w:rPr>
          <w:rFonts w:cs="Arial Narrow"/>
          <w:sz w:val="22"/>
          <w:szCs w:val="22"/>
        </w:rPr>
        <w:t>12</w:t>
      </w:r>
      <w:r w:rsidR="008A20B9">
        <w:rPr>
          <w:rFonts w:cs="Arial Narrow"/>
          <w:sz w:val="22"/>
          <w:szCs w:val="22"/>
        </w:rPr>
        <w:t xml:space="preserve"> </w:t>
      </w:r>
      <w:r w:rsidRPr="00D026DD">
        <w:rPr>
          <w:rFonts w:cs="Arial Narrow"/>
          <w:sz w:val="22"/>
          <w:szCs w:val="22"/>
        </w:rPr>
        <w:t xml:space="preserve">mesi, decorrenti dalla data di sottoscrizione del contratto, fatto salvo quanto previsto dall’art. 5 del presente disciplinare per l’ipotesi di esecuzione anticipata. </w:t>
      </w:r>
    </w:p>
    <w:p w14:paraId="6D10A2A3" w14:textId="77777777" w:rsidR="000F5886" w:rsidRDefault="000F5886">
      <w:pPr>
        <w:pStyle w:val="Paragrafoelenco"/>
        <w:rPr>
          <w:rFonts w:cs="Arial Narrow"/>
          <w:b/>
          <w:bCs/>
        </w:rPr>
      </w:pPr>
    </w:p>
    <w:p w14:paraId="323C28D9" w14:textId="02A8C1CF" w:rsidR="000F5886" w:rsidRDefault="00000000">
      <w:pPr>
        <w:pStyle w:val="Paragrafoelenco"/>
        <w:numPr>
          <w:ilvl w:val="1"/>
          <w:numId w:val="9"/>
        </w:numPr>
        <w:rPr>
          <w:rFonts w:cs="Arial Narrow"/>
          <w:b/>
          <w:bCs/>
        </w:rPr>
      </w:pPr>
      <w:r>
        <w:rPr>
          <w:rFonts w:cs="Arial Narrow"/>
          <w:b/>
          <w:bCs/>
        </w:rPr>
        <w:t>AUMENTO DEL QUINTO.</w:t>
      </w:r>
    </w:p>
    <w:p w14:paraId="6781BB5D" w14:textId="77777777" w:rsidR="000F5886" w:rsidRDefault="00000000">
      <w:pPr>
        <w:jc w:val="both"/>
        <w:rPr>
          <w:rFonts w:ascii="Garamond" w:hAnsi="Garamond"/>
        </w:rPr>
      </w:pPr>
      <w:r>
        <w:rPr>
          <w:rFonts w:ascii="Garamond" w:hAnsi="Garamond"/>
        </w:rPr>
        <w:t xml:space="preserve">Ai sensi dell’art. 120, comma 9, d. lgs. n. 36/2023, qualora in corso di esecuzione si renda necessario un aumento o una diminuzione delle prestazioni fino a concorrenza del quinto dell’importo del contratto, la stazione appaltante può imporre l’esecuzione alle condizioni originariamente previste. In tale ipotesi, l’operatore economico aggiudicatario non può far valere il diritto alla risoluzione del contratto. </w:t>
      </w:r>
    </w:p>
    <w:p w14:paraId="76FDCFD9" w14:textId="77777777" w:rsidR="000F5886" w:rsidRDefault="000F5886">
      <w:pPr>
        <w:jc w:val="both"/>
        <w:rPr>
          <w:rFonts w:ascii="Garamond" w:hAnsi="Garamond"/>
        </w:rPr>
      </w:pPr>
    </w:p>
    <w:p w14:paraId="021BBBB6" w14:textId="77777777" w:rsidR="000F5886" w:rsidRDefault="00000000">
      <w:pPr>
        <w:pStyle w:val="Paragrafoelenco"/>
        <w:numPr>
          <w:ilvl w:val="0"/>
          <w:numId w:val="9"/>
        </w:numPr>
      </w:pPr>
      <w:r>
        <w:rPr>
          <w:rFonts w:cs="Arial"/>
          <w:b/>
          <w:bCs/>
          <w:color w:val="000000"/>
        </w:rPr>
        <w:t>DOCUMENTAZIONE DI GARA</w:t>
      </w:r>
    </w:p>
    <w:p w14:paraId="7CFCDC9A" w14:textId="77777777" w:rsidR="000F5886" w:rsidRDefault="00000000">
      <w:pPr>
        <w:pStyle w:val="Paragrafoelenco"/>
        <w:numPr>
          <w:ilvl w:val="1"/>
          <w:numId w:val="9"/>
        </w:numPr>
        <w:spacing w:after="29"/>
      </w:pPr>
      <w:r>
        <w:rPr>
          <w:rFonts w:cs="Arial"/>
          <w:b/>
          <w:spacing w:val="5"/>
          <w:u w:val="single"/>
        </w:rPr>
        <w:t>DOCUMENTAZIONE AMMINISTRATIVA</w:t>
      </w:r>
    </w:p>
    <w:p w14:paraId="0BA7F597" w14:textId="77777777" w:rsidR="000F5886" w:rsidRDefault="00000000">
      <w:pPr>
        <w:ind w:left="72" w:right="72"/>
        <w:jc w:val="both"/>
        <w:rPr>
          <w:rFonts w:ascii="Garamond" w:hAnsi="Garamond"/>
        </w:rPr>
      </w:pPr>
      <w:r>
        <w:rPr>
          <w:rFonts w:ascii="Garamond" w:hAnsi="Garamond" w:cs="Arial"/>
        </w:rPr>
        <w:t>Gli operatori economici concorrenti dovranno inserire ed inviare (con file.pdf), pena non ammissione alla gara, fatto salvo quanto stabilito dal D.lgs. n. 36/2023:</w:t>
      </w:r>
    </w:p>
    <w:p w14:paraId="45854CCA" w14:textId="77777777" w:rsidR="000F5886" w:rsidRDefault="00000000">
      <w:pPr>
        <w:pStyle w:val="Paragrafoelenco"/>
        <w:numPr>
          <w:ilvl w:val="0"/>
          <w:numId w:val="8"/>
        </w:numPr>
        <w:rPr>
          <w:sz w:val="22"/>
          <w:szCs w:val="22"/>
        </w:rPr>
      </w:pPr>
      <w:r>
        <w:rPr>
          <w:rFonts w:cs="Arial"/>
          <w:sz w:val="22"/>
          <w:szCs w:val="22"/>
        </w:rPr>
        <w:t xml:space="preserve">Il </w:t>
      </w:r>
      <w:r>
        <w:rPr>
          <w:rFonts w:cs="Arial"/>
          <w:b/>
          <w:sz w:val="22"/>
          <w:szCs w:val="22"/>
        </w:rPr>
        <w:t xml:space="preserve">presente Disciplinare di gara, </w:t>
      </w:r>
      <w:r>
        <w:rPr>
          <w:rFonts w:cs="Arial"/>
          <w:b/>
          <w:sz w:val="22"/>
          <w:szCs w:val="22"/>
          <w:u w:val="single"/>
        </w:rPr>
        <w:t>firmato per accettazione</w:t>
      </w:r>
      <w:r>
        <w:rPr>
          <w:rFonts w:cs="Arial"/>
          <w:sz w:val="22"/>
          <w:szCs w:val="22"/>
        </w:rPr>
        <w:t>, in formato pdf, con o senza firma digitale dal Legale Rappresentante e/o Suo Delegato con procura allegata;</w:t>
      </w:r>
    </w:p>
    <w:p w14:paraId="25DFBE4C" w14:textId="77777777" w:rsidR="000F5886" w:rsidRDefault="00000000">
      <w:pPr>
        <w:pStyle w:val="Paragrafoelenco"/>
        <w:numPr>
          <w:ilvl w:val="0"/>
          <w:numId w:val="8"/>
        </w:numPr>
        <w:rPr>
          <w:sz w:val="22"/>
          <w:szCs w:val="22"/>
        </w:rPr>
      </w:pPr>
      <w:r>
        <w:rPr>
          <w:rFonts w:cs="Arial"/>
          <w:b/>
          <w:sz w:val="22"/>
          <w:szCs w:val="22"/>
        </w:rPr>
        <w:t xml:space="preserve">Dichiarazione del legale rappresentante </w:t>
      </w:r>
      <w:r>
        <w:rPr>
          <w:rFonts w:cs="Arial"/>
          <w:b/>
          <w:sz w:val="22"/>
          <w:szCs w:val="22"/>
          <w:u w:val="single"/>
        </w:rPr>
        <w:t>ex DPR 445/2000</w:t>
      </w:r>
      <w:r>
        <w:rPr>
          <w:rFonts w:cs="Arial"/>
          <w:sz w:val="22"/>
          <w:szCs w:val="22"/>
        </w:rPr>
        <w:t xml:space="preserve">, in formato pdf, (compilare modello n.4) </w:t>
      </w:r>
      <w:r>
        <w:rPr>
          <w:rFonts w:cs="Arial"/>
          <w:b/>
          <w:sz w:val="22"/>
          <w:szCs w:val="22"/>
          <w:u w:val="single"/>
        </w:rPr>
        <w:t>completa di copia del documento di identità del sottoscrittore in corso di validità o firmato digitalmente, la cui mancanza rende nulla la dichiarazione (</w:t>
      </w:r>
      <w:proofErr w:type="spellStart"/>
      <w:r>
        <w:rPr>
          <w:rFonts w:cs="Arial"/>
          <w:b/>
          <w:i/>
          <w:sz w:val="22"/>
          <w:szCs w:val="22"/>
          <w:u w:val="single"/>
        </w:rPr>
        <w:t>tamquam</w:t>
      </w:r>
      <w:proofErr w:type="spellEnd"/>
      <w:r>
        <w:rPr>
          <w:rFonts w:cs="Arial"/>
          <w:b/>
          <w:i/>
          <w:sz w:val="22"/>
          <w:szCs w:val="22"/>
          <w:u w:val="single"/>
        </w:rPr>
        <w:t xml:space="preserve"> non </w:t>
      </w:r>
      <w:proofErr w:type="spellStart"/>
      <w:r>
        <w:rPr>
          <w:rFonts w:cs="Arial"/>
          <w:b/>
          <w:i/>
          <w:sz w:val="22"/>
          <w:szCs w:val="22"/>
          <w:u w:val="single"/>
        </w:rPr>
        <w:t>esset</w:t>
      </w:r>
      <w:proofErr w:type="spellEnd"/>
      <w:r>
        <w:rPr>
          <w:rFonts w:cs="Arial"/>
          <w:sz w:val="22"/>
          <w:szCs w:val="22"/>
        </w:rPr>
        <w:t xml:space="preserve">) </w:t>
      </w:r>
      <w:r>
        <w:rPr>
          <w:rFonts w:cs="Arial"/>
          <w:b/>
          <w:bCs/>
          <w:sz w:val="22"/>
          <w:szCs w:val="22"/>
        </w:rPr>
        <w:t>attestante:</w:t>
      </w:r>
    </w:p>
    <w:p w14:paraId="13942614" w14:textId="77777777" w:rsidR="000F5886" w:rsidRDefault="00000000">
      <w:pPr>
        <w:pStyle w:val="Paragrafoelenco"/>
        <w:numPr>
          <w:ilvl w:val="1"/>
          <w:numId w:val="2"/>
        </w:numPr>
        <w:tabs>
          <w:tab w:val="left" w:pos="1368"/>
        </w:tabs>
        <w:ind w:right="72"/>
        <w:rPr>
          <w:sz w:val="22"/>
          <w:szCs w:val="22"/>
        </w:rPr>
      </w:pPr>
      <w:r>
        <w:rPr>
          <w:rFonts w:cs="Arial"/>
          <w:color w:val="333333"/>
          <w:sz w:val="22"/>
          <w:szCs w:val="22"/>
        </w:rPr>
        <w:t xml:space="preserve">di non trovarsi in alcuna delle cause di esclusione di cui agli artt. 94, 95, 96, 97 del </w:t>
      </w:r>
      <w:proofErr w:type="gramStart"/>
      <w:r>
        <w:rPr>
          <w:rFonts w:cs="Arial"/>
          <w:color w:val="333333"/>
          <w:sz w:val="22"/>
          <w:szCs w:val="22"/>
        </w:rPr>
        <w:t>d lgs</w:t>
      </w:r>
      <w:proofErr w:type="gramEnd"/>
      <w:r>
        <w:rPr>
          <w:rFonts w:cs="Arial"/>
          <w:color w:val="333333"/>
          <w:sz w:val="22"/>
          <w:szCs w:val="22"/>
        </w:rPr>
        <w:t>. 36/2023;</w:t>
      </w:r>
    </w:p>
    <w:p w14:paraId="35859725" w14:textId="77777777" w:rsidR="000F5886" w:rsidRDefault="00000000">
      <w:pPr>
        <w:numPr>
          <w:ilvl w:val="1"/>
          <w:numId w:val="2"/>
        </w:numPr>
        <w:ind w:right="72"/>
        <w:jc w:val="both"/>
        <w:rPr>
          <w:rFonts w:ascii="Garamond" w:hAnsi="Garamond"/>
        </w:rPr>
      </w:pPr>
      <w:r>
        <w:rPr>
          <w:rFonts w:ascii="Garamond" w:eastAsia="Calibri" w:hAnsi="Garamond" w:cs="Arial"/>
        </w:rPr>
        <w:t>che nei propri confronti non sussistono cause di decadenza, o di sospensione o di divieto di cui all’art. 67, ai sensi del D.lgs. 159/2011;</w:t>
      </w:r>
    </w:p>
    <w:p w14:paraId="61044406" w14:textId="77777777" w:rsidR="000F5886" w:rsidRDefault="00000000">
      <w:pPr>
        <w:numPr>
          <w:ilvl w:val="1"/>
          <w:numId w:val="2"/>
        </w:numPr>
        <w:tabs>
          <w:tab w:val="left" w:pos="1368"/>
        </w:tabs>
        <w:ind w:right="72"/>
        <w:jc w:val="both"/>
        <w:rPr>
          <w:rFonts w:ascii="Garamond" w:hAnsi="Garamond"/>
        </w:rPr>
      </w:pPr>
      <w:r>
        <w:rPr>
          <w:rFonts w:ascii="Garamond" w:eastAsia="Calibri" w:hAnsi="Garamond" w:cs="Arial"/>
        </w:rPr>
        <w:t>di accettare che la stipula del contratto avvenga nelle more delle verifiche previste dal Dlgs n.159/2011 e sotto condizione risolutiva espressa di cui all'art.92, comma 3, dello stesso Decreto;</w:t>
      </w:r>
    </w:p>
    <w:p w14:paraId="7BB2955C" w14:textId="77777777" w:rsidR="000F5886" w:rsidRDefault="00000000">
      <w:pPr>
        <w:numPr>
          <w:ilvl w:val="1"/>
          <w:numId w:val="2"/>
        </w:numPr>
        <w:tabs>
          <w:tab w:val="left" w:pos="1368"/>
        </w:tabs>
        <w:ind w:right="72"/>
        <w:jc w:val="both"/>
        <w:rPr>
          <w:rFonts w:ascii="Garamond" w:hAnsi="Garamond"/>
        </w:rPr>
      </w:pPr>
      <w:r>
        <w:rPr>
          <w:rFonts w:ascii="Garamond" w:hAnsi="Garamond" w:cs="Arial"/>
          <w:spacing w:val="3"/>
        </w:rPr>
        <w:t xml:space="preserve">di aver letto e di accettato il "Patto di Integrità per l’affidamento di servizi, lavori e forniture", approvato con Delibera DG n. 930 del 29/12/2014 e pubblicato sul Profilo Committente URL: </w:t>
      </w:r>
      <w:hyperlink r:id="rId8">
        <w:r>
          <w:rPr>
            <w:rStyle w:val="CollegamentoInternet"/>
            <w:rFonts w:ascii="Garamond" w:hAnsi="Garamond" w:cs="Arial"/>
            <w:spacing w:val="3"/>
          </w:rPr>
          <w:t>http://www.asp.cz.it/files/u13/Patto di Integrità.pdf</w:t>
        </w:r>
      </w:hyperlink>
      <w:r>
        <w:rPr>
          <w:rFonts w:ascii="Garamond" w:hAnsi="Garamond" w:cs="Arial"/>
          <w:color w:val="0000FF"/>
          <w:spacing w:val="3"/>
        </w:rPr>
        <w:t>;</w:t>
      </w:r>
    </w:p>
    <w:p w14:paraId="0D18DBF1" w14:textId="77777777" w:rsidR="000F5886" w:rsidRDefault="00000000">
      <w:pPr>
        <w:numPr>
          <w:ilvl w:val="1"/>
          <w:numId w:val="2"/>
        </w:numPr>
        <w:tabs>
          <w:tab w:val="left" w:pos="1368"/>
        </w:tabs>
        <w:ind w:right="72"/>
        <w:jc w:val="both"/>
        <w:rPr>
          <w:rFonts w:ascii="Garamond" w:hAnsi="Garamond"/>
        </w:rPr>
      </w:pPr>
      <w:r>
        <w:rPr>
          <w:rFonts w:ascii="Garamond" w:hAnsi="Garamond" w:cs="Arial"/>
          <w:color w:val="333333"/>
        </w:rPr>
        <w:t>di aver preso visione del Codice di comportamento adottato dall’ASP di Catanzaro e di obbligarsi al rispetto ed all’osservanza degli impegni e degli obblighi ivi menzionati;</w:t>
      </w:r>
    </w:p>
    <w:p w14:paraId="0DBA6739" w14:textId="77777777" w:rsidR="000F5886" w:rsidRDefault="00000000">
      <w:pPr>
        <w:numPr>
          <w:ilvl w:val="1"/>
          <w:numId w:val="2"/>
        </w:numPr>
        <w:tabs>
          <w:tab w:val="left" w:pos="1368"/>
        </w:tabs>
        <w:ind w:right="72"/>
        <w:jc w:val="both"/>
        <w:rPr>
          <w:rFonts w:ascii="Garamond" w:hAnsi="Garamond"/>
        </w:rPr>
      </w:pPr>
      <w:r>
        <w:rPr>
          <w:rFonts w:ascii="Garamond" w:hAnsi="Garamond" w:cs="Arial"/>
          <w:spacing w:val="2"/>
        </w:rPr>
        <w:t xml:space="preserve">di assolvere, in caso di aggiudicazione, agli obblighi relativi all’imposta di bollo secondo le modalità previste dalla legge e dall’art 18, comma 10, d. lgs. n. 36/2023 e Allegato 1.4. al </w:t>
      </w:r>
      <w:r>
        <w:rPr>
          <w:rFonts w:ascii="Garamond" w:hAnsi="Garamond" w:cs="Arial"/>
          <w:spacing w:val="2"/>
        </w:rPr>
        <w:lastRenderedPageBreak/>
        <w:t>medesimo;</w:t>
      </w:r>
    </w:p>
    <w:p w14:paraId="4316B1CD" w14:textId="77777777" w:rsidR="000F5886" w:rsidRDefault="00000000">
      <w:pPr>
        <w:numPr>
          <w:ilvl w:val="1"/>
          <w:numId w:val="2"/>
        </w:numPr>
        <w:tabs>
          <w:tab w:val="left" w:pos="1368"/>
        </w:tabs>
        <w:ind w:right="72"/>
        <w:jc w:val="both"/>
        <w:rPr>
          <w:rFonts w:ascii="Garamond" w:hAnsi="Garamond"/>
          <w:color w:val="000000"/>
        </w:rPr>
      </w:pPr>
      <w:r>
        <w:rPr>
          <w:rFonts w:ascii="Garamond" w:hAnsi="Garamond" w:cs="Arial"/>
          <w:color w:val="000000"/>
        </w:rPr>
        <w:t>che il prezzo offerto è in linea con i prezzi praticati in altre aziende sanitarie locali e/o nazionali;</w:t>
      </w:r>
    </w:p>
    <w:p w14:paraId="58AFD2DF" w14:textId="77777777" w:rsidR="000F5886" w:rsidRDefault="000F5886">
      <w:pPr>
        <w:tabs>
          <w:tab w:val="left" w:pos="1368"/>
        </w:tabs>
        <w:ind w:left="1440" w:right="72" w:hanging="360"/>
        <w:jc w:val="both"/>
        <w:rPr>
          <w:rFonts w:ascii="Garamond" w:hAnsi="Garamond" w:cs="Arial"/>
          <w:color w:val="333333"/>
        </w:rPr>
      </w:pPr>
    </w:p>
    <w:p w14:paraId="6C39A733" w14:textId="77777777" w:rsidR="000F5886" w:rsidRDefault="00000000">
      <w:pPr>
        <w:pStyle w:val="Paragrafoelenco"/>
        <w:numPr>
          <w:ilvl w:val="0"/>
          <w:numId w:val="8"/>
        </w:numPr>
        <w:rPr>
          <w:sz w:val="22"/>
          <w:szCs w:val="22"/>
        </w:rPr>
      </w:pPr>
      <w:r>
        <w:rPr>
          <w:rFonts w:cs="Arial"/>
          <w:b/>
          <w:bCs/>
          <w:sz w:val="22"/>
          <w:szCs w:val="22"/>
        </w:rPr>
        <w:t>DGUE</w:t>
      </w:r>
      <w:r>
        <w:rPr>
          <w:rFonts w:cs="Arial"/>
          <w:b/>
          <w:sz w:val="22"/>
          <w:szCs w:val="22"/>
        </w:rPr>
        <w:t xml:space="preserve"> </w:t>
      </w:r>
      <w:r>
        <w:rPr>
          <w:rFonts w:cs="Arial"/>
          <w:bCs/>
          <w:sz w:val="22"/>
          <w:szCs w:val="22"/>
        </w:rPr>
        <w:t>da compilare in tutte le sue parti</w:t>
      </w:r>
      <w:r>
        <w:rPr>
          <w:rFonts w:cs="Arial"/>
          <w:bCs/>
          <w:spacing w:val="3"/>
          <w:sz w:val="22"/>
          <w:szCs w:val="22"/>
        </w:rPr>
        <w:t>;</w:t>
      </w:r>
    </w:p>
    <w:p w14:paraId="64B3F78B" w14:textId="77777777" w:rsidR="00035C60" w:rsidRPr="00035C60" w:rsidRDefault="00000000" w:rsidP="00035C60">
      <w:pPr>
        <w:pStyle w:val="Paragrafoelenco"/>
        <w:numPr>
          <w:ilvl w:val="0"/>
          <w:numId w:val="8"/>
        </w:numPr>
        <w:rPr>
          <w:sz w:val="22"/>
          <w:szCs w:val="22"/>
        </w:rPr>
      </w:pPr>
      <w:r>
        <w:rPr>
          <w:rFonts w:cs="Arial"/>
          <w:b/>
          <w:bCs/>
          <w:sz w:val="22"/>
          <w:szCs w:val="22"/>
        </w:rPr>
        <w:t xml:space="preserve">MODELLO RIEPILOGATIVO DATI IMPRESA PER CERTIFICAZIONE ANTIMAFIA </w:t>
      </w:r>
      <w:r>
        <w:rPr>
          <w:rFonts w:cs="Arial"/>
          <w:sz w:val="22"/>
          <w:szCs w:val="22"/>
        </w:rPr>
        <w:t>debitamente compilato;</w:t>
      </w:r>
    </w:p>
    <w:p w14:paraId="231E85CC" w14:textId="77777777" w:rsidR="00035C60" w:rsidRDefault="00035C60" w:rsidP="00035C60">
      <w:pPr>
        <w:rPr>
          <w:rFonts w:eastAsia="Calibri" w:cs="Arial"/>
          <w:b/>
          <w:u w:val="single"/>
        </w:rPr>
      </w:pPr>
    </w:p>
    <w:p w14:paraId="107A07B5" w14:textId="7419F6D0" w:rsidR="000F5886" w:rsidRPr="00035C60" w:rsidRDefault="00000000" w:rsidP="00035C60">
      <w:r w:rsidRPr="00035C60">
        <w:rPr>
          <w:rFonts w:eastAsia="Calibri" w:cs="Arial"/>
          <w:b/>
          <w:u w:val="single"/>
        </w:rPr>
        <w:t>Si precisa che:</w:t>
      </w:r>
    </w:p>
    <w:p w14:paraId="3486595C" w14:textId="4C088C15" w:rsidR="000F5886" w:rsidRDefault="00000000">
      <w:pPr>
        <w:pStyle w:val="Paragrafoelenco"/>
        <w:numPr>
          <w:ilvl w:val="0"/>
          <w:numId w:val="3"/>
        </w:numPr>
        <w:tabs>
          <w:tab w:val="left" w:pos="1368"/>
        </w:tabs>
        <w:spacing w:after="160"/>
        <w:ind w:right="72"/>
        <w:textAlignment w:val="baseline"/>
        <w:rPr>
          <w:sz w:val="22"/>
          <w:szCs w:val="22"/>
        </w:rPr>
      </w:pPr>
      <w:r>
        <w:rPr>
          <w:rFonts w:cs="Arial"/>
          <w:b/>
          <w:sz w:val="22"/>
          <w:szCs w:val="22"/>
          <w:u w:val="single"/>
        </w:rPr>
        <w:t xml:space="preserve">questa ASP di Catanzaro, in conformità a quanto disposto dall’art. 100 del </w:t>
      </w:r>
      <w:proofErr w:type="spellStart"/>
      <w:r>
        <w:rPr>
          <w:rFonts w:cs="Arial"/>
          <w:b/>
          <w:sz w:val="22"/>
          <w:szCs w:val="22"/>
          <w:u w:val="single"/>
        </w:rPr>
        <w:t>D.Lgs</w:t>
      </w:r>
      <w:proofErr w:type="spellEnd"/>
      <w:r>
        <w:rPr>
          <w:rFonts w:cs="Arial"/>
          <w:b/>
          <w:sz w:val="22"/>
          <w:szCs w:val="22"/>
          <w:u w:val="single"/>
        </w:rPr>
        <w:t xml:space="preserve"> 159/2011, precedentemente alla stipula, all’approvazione o all’autorizzazione di qualsiasi contratto o subcontratto o di subappalto nei casi consentiti dalla legge, indipendentemente dal valore economico degli stessi, ha l’obbligo inderogabile di richiedere alla Banca Dati Unica per la documentazione antimafia (BDNA), l’informazione antimafia di cui all’art. 84 comma 3;</w:t>
      </w:r>
    </w:p>
    <w:p w14:paraId="211EF784" w14:textId="77777777" w:rsidR="000F5886" w:rsidRDefault="00000000">
      <w:pPr>
        <w:pStyle w:val="Paragrafoelenco"/>
        <w:numPr>
          <w:ilvl w:val="0"/>
          <w:numId w:val="3"/>
        </w:numPr>
        <w:tabs>
          <w:tab w:val="left" w:pos="1368"/>
        </w:tabs>
        <w:spacing w:after="160"/>
        <w:ind w:right="72"/>
        <w:textAlignment w:val="baseline"/>
        <w:rPr>
          <w:sz w:val="22"/>
          <w:szCs w:val="22"/>
        </w:rPr>
      </w:pPr>
      <w:r>
        <w:rPr>
          <w:rFonts w:cs="Arial"/>
          <w:b/>
          <w:sz w:val="22"/>
          <w:szCs w:val="22"/>
          <w:u w:val="single"/>
        </w:rPr>
        <w:t>Questa stazione appaltante si riserva la più ampia facoltà di procedere all’aggiudicazione della presente procedura anche in presenza di una sola offerta o di non procedere ad alcuna aggiudicazione senza che gli operatori economici partecipanti abbiano nulla a pretendere;</w:t>
      </w:r>
    </w:p>
    <w:p w14:paraId="3C0A354E" w14:textId="77777777" w:rsidR="000F5886" w:rsidRDefault="000F5886">
      <w:pPr>
        <w:pStyle w:val="Testocommento1"/>
        <w:ind w:right="72"/>
        <w:jc w:val="both"/>
        <w:rPr>
          <w:rFonts w:ascii="Garamond" w:hAnsi="Garamond" w:cs="Arial"/>
          <w:b/>
          <w:sz w:val="22"/>
          <w:szCs w:val="22"/>
        </w:rPr>
      </w:pPr>
    </w:p>
    <w:p w14:paraId="6EABCD92" w14:textId="77777777" w:rsidR="000F5886" w:rsidRDefault="00000000">
      <w:pPr>
        <w:pStyle w:val="Paragrafoelenco"/>
        <w:numPr>
          <w:ilvl w:val="1"/>
          <w:numId w:val="9"/>
        </w:numPr>
        <w:ind w:right="270"/>
      </w:pPr>
      <w:r>
        <w:rPr>
          <w:rFonts w:cs="Arial"/>
          <w:b/>
          <w:bCs/>
          <w:u w:val="single"/>
        </w:rPr>
        <w:t>OFFERTA ECONOMICA</w:t>
      </w:r>
    </w:p>
    <w:p w14:paraId="4FFA4AE1" w14:textId="77777777" w:rsidR="000F5886" w:rsidRDefault="00000000">
      <w:pPr>
        <w:ind w:left="7" w:right="270"/>
        <w:jc w:val="both"/>
        <w:rPr>
          <w:rFonts w:ascii="Garamond" w:hAnsi="Garamond"/>
        </w:rPr>
      </w:pPr>
      <w:r>
        <w:rPr>
          <w:rFonts w:ascii="Garamond" w:eastAsia="Arial Unicode MS" w:hAnsi="Garamond" w:cs="Arial"/>
          <w:bCs/>
          <w:color w:val="000000"/>
          <w:lang w:bidi="en-US"/>
        </w:rPr>
        <w:t>La Ditta dovrà inserire ed inviare telematicamente (con file.pdf) nella busta “Offerta Economica”:</w:t>
      </w:r>
    </w:p>
    <w:p w14:paraId="501788DB" w14:textId="77777777" w:rsidR="000F5886" w:rsidRDefault="00000000">
      <w:pPr>
        <w:numPr>
          <w:ilvl w:val="0"/>
          <w:numId w:val="4"/>
        </w:numPr>
        <w:tabs>
          <w:tab w:val="clear" w:pos="0"/>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completata e firmata digitalmente sui facsimili di sistema. Saranno ritenute inammissibili tutte quelle offerte nelle quali non siano indicati prezzi specifici per la sicurezza.</w:t>
      </w:r>
    </w:p>
    <w:p w14:paraId="31EA21B6" w14:textId="77777777" w:rsidR="000F5886" w:rsidRDefault="00000000">
      <w:pPr>
        <w:numPr>
          <w:ilvl w:val="0"/>
          <w:numId w:val="4"/>
        </w:numPr>
        <w:tabs>
          <w:tab w:val="clear" w:pos="0"/>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dettagliata redatta</w:t>
      </w:r>
      <w:r>
        <w:rPr>
          <w:rFonts w:ascii="Garamond" w:eastAsia="Arial Unicode MS" w:hAnsi="Garamond" w:cs="Arial"/>
          <w:bCs/>
          <w:color w:val="000000"/>
          <w:lang w:bidi="en-US"/>
        </w:rPr>
        <w:t xml:space="preserve">, mediante la compilazione del Modello 2, Offerta Economica, </w:t>
      </w:r>
      <w:r>
        <w:rPr>
          <w:rFonts w:ascii="Garamond" w:eastAsia="Arial Unicode MS" w:hAnsi="Garamond" w:cs="Arial"/>
          <w:color w:val="000000"/>
          <w:lang w:bidi="en-US"/>
        </w:rPr>
        <w:t>con l’indicazione dei dati richiesti.</w:t>
      </w:r>
    </w:p>
    <w:p w14:paraId="7E1C0906" w14:textId="77777777" w:rsidR="000F5886" w:rsidRDefault="00000000">
      <w:pPr>
        <w:jc w:val="both"/>
        <w:rPr>
          <w:rFonts w:ascii="Garamond" w:hAnsi="Garamond"/>
        </w:rPr>
      </w:pPr>
      <w:r>
        <w:rPr>
          <w:rFonts w:ascii="Garamond" w:hAnsi="Garamond" w:cs="Arial"/>
        </w:rPr>
        <w:t>Non sono ammesse offerte parziali, condizionate o espresse in modo non chiaro.</w:t>
      </w:r>
    </w:p>
    <w:p w14:paraId="14931714" w14:textId="77777777" w:rsidR="000F5886" w:rsidRDefault="00000000">
      <w:pPr>
        <w:spacing w:after="29"/>
        <w:jc w:val="both"/>
        <w:rPr>
          <w:rFonts w:ascii="Garamond" w:hAnsi="Garamond"/>
        </w:rPr>
      </w:pPr>
      <w:r>
        <w:rPr>
          <w:rFonts w:ascii="Garamond" w:hAnsi="Garamond" w:cs="Arial"/>
        </w:rPr>
        <w:t>Nella suddetta busta non deve essere inserito alcun altro documento.</w:t>
      </w:r>
    </w:p>
    <w:p w14:paraId="69E92352" w14:textId="77777777" w:rsidR="000F5886" w:rsidRDefault="00000000">
      <w:pPr>
        <w:ind w:right="270"/>
        <w:jc w:val="both"/>
        <w:rPr>
          <w:rFonts w:ascii="Garamond" w:hAnsi="Garamond"/>
        </w:rPr>
      </w:pPr>
      <w:r>
        <w:rPr>
          <w:rFonts w:ascii="Garamond" w:hAnsi="Garamond" w:cs="Arial"/>
        </w:rPr>
        <w:t xml:space="preserve">Si precisa che: </w:t>
      </w:r>
    </w:p>
    <w:p w14:paraId="2FFCDE73" w14:textId="77777777" w:rsidR="000F5886" w:rsidRDefault="00000000">
      <w:pPr>
        <w:numPr>
          <w:ilvl w:val="0"/>
          <w:numId w:val="5"/>
        </w:numPr>
        <w:spacing w:after="4"/>
        <w:ind w:right="270" w:hanging="134"/>
        <w:jc w:val="both"/>
        <w:rPr>
          <w:rFonts w:ascii="Garamond" w:hAnsi="Garamond"/>
        </w:rPr>
      </w:pPr>
      <w:r>
        <w:rPr>
          <w:rFonts w:ascii="Garamond" w:hAnsi="Garamond" w:cs="Arial"/>
        </w:rPr>
        <w:t>il prezzo offerto deve essere indicato sia in cifre sia in lettere;</w:t>
      </w:r>
    </w:p>
    <w:p w14:paraId="12EEBD91" w14:textId="77777777" w:rsidR="000F5886" w:rsidRDefault="00000000">
      <w:pPr>
        <w:numPr>
          <w:ilvl w:val="0"/>
          <w:numId w:val="5"/>
        </w:numPr>
        <w:spacing w:after="4"/>
        <w:ind w:right="270" w:hanging="134"/>
        <w:jc w:val="both"/>
        <w:rPr>
          <w:rFonts w:ascii="Garamond" w:hAnsi="Garamond"/>
        </w:rPr>
      </w:pPr>
      <w:r>
        <w:rPr>
          <w:rFonts w:ascii="Garamond" w:hAnsi="Garamond" w:cs="Arial"/>
        </w:rPr>
        <w:t xml:space="preserve">in caso di discordanza fra il prezzo indicato in cifre e quello in lettere, sarà ritenuta valida l’offerta più vantaggiosa per l’ASP di Catanzaro; </w:t>
      </w:r>
    </w:p>
    <w:p w14:paraId="6BEB2AB5" w14:textId="77777777" w:rsidR="000F5886" w:rsidRDefault="00000000">
      <w:pPr>
        <w:numPr>
          <w:ilvl w:val="0"/>
          <w:numId w:val="5"/>
        </w:numPr>
        <w:ind w:right="270" w:hanging="134"/>
        <w:jc w:val="both"/>
        <w:rPr>
          <w:rFonts w:ascii="Garamond" w:hAnsi="Garamond"/>
        </w:rPr>
      </w:pPr>
      <w:r>
        <w:rPr>
          <w:rFonts w:ascii="Garamond" w:hAnsi="Garamond" w:cs="Arial"/>
        </w:rPr>
        <w:t xml:space="preserve">i valori offerti devono essere indicati IVA esclusa; </w:t>
      </w:r>
    </w:p>
    <w:p w14:paraId="37D24316" w14:textId="77777777" w:rsidR="000F5886" w:rsidRDefault="00000000">
      <w:pPr>
        <w:numPr>
          <w:ilvl w:val="0"/>
          <w:numId w:val="5"/>
        </w:numPr>
        <w:spacing w:after="108"/>
        <w:ind w:right="270" w:hanging="134"/>
        <w:jc w:val="both"/>
        <w:rPr>
          <w:rFonts w:ascii="Garamond" w:hAnsi="Garamond"/>
        </w:rPr>
      </w:pPr>
      <w:r>
        <w:rPr>
          <w:rFonts w:ascii="Garamond" w:hAnsi="Garamond" w:cs="Arial"/>
        </w:rPr>
        <w:t xml:space="preserve">non saranno ammesse offerte pari a 0 (zero); </w:t>
      </w:r>
    </w:p>
    <w:p w14:paraId="18647B09" w14:textId="77777777" w:rsidR="000F5886" w:rsidRDefault="00000000">
      <w:pPr>
        <w:tabs>
          <w:tab w:val="left" w:pos="0"/>
        </w:tabs>
        <w:suppressAutoHyphens w:val="0"/>
        <w:ind w:right="72"/>
        <w:jc w:val="both"/>
        <w:rPr>
          <w:rFonts w:ascii="Garamond" w:hAnsi="Garamond"/>
        </w:rPr>
      </w:pPr>
      <w:r>
        <w:rPr>
          <w:rFonts w:ascii="Garamond" w:hAnsi="Garamond" w:cs="Arial"/>
        </w:rPr>
        <w:t>Il prezzo offerto s’intende franco destino e comprensivo di ogni e qualsiasi spesa (costi di primo impianto/imballo, trasporto, collaudo e smaltimento degli imballaggi) nessuna esclusa, tranne l’IVA. L’offerta dovrà avere una validità non inferiore a 180 giorni decorrenti dalla data di scadenza della presentazione delle offerte ed i prezzi in essa indicati dovranno restare fissi ed invariabili per l’intera durata contrattuale. Saranno escluse dalla gara le offerte alternative, plurime o indeterminate o espresse in maniera parziale.</w:t>
      </w:r>
    </w:p>
    <w:p w14:paraId="61D0CC27" w14:textId="77777777" w:rsidR="000F5886" w:rsidRDefault="00000000">
      <w:pPr>
        <w:tabs>
          <w:tab w:val="left" w:pos="0"/>
        </w:tabs>
        <w:suppressAutoHyphens w:val="0"/>
        <w:ind w:right="72"/>
        <w:jc w:val="both"/>
        <w:rPr>
          <w:rFonts w:ascii="Garamond" w:hAnsi="Garamond"/>
        </w:rPr>
      </w:pPr>
      <w:r>
        <w:rPr>
          <w:rFonts w:ascii="Garamond" w:hAnsi="Garamond" w:cs="Arial"/>
        </w:rPr>
        <w:t xml:space="preserve">Saranno </w:t>
      </w:r>
      <w:r>
        <w:rPr>
          <w:rFonts w:ascii="Garamond" w:hAnsi="Garamond" w:cs="Arial"/>
          <w:u w:val="single" w:color="000000"/>
        </w:rPr>
        <w:t>escluse</w:t>
      </w:r>
      <w:r>
        <w:rPr>
          <w:rFonts w:ascii="Garamond" w:hAnsi="Garamond" w:cs="Arial"/>
        </w:rPr>
        <w:t xml:space="preserve"> le offerte il cui valore complessivo sia uguale o superiore al valore posto a base d’asta. </w:t>
      </w:r>
    </w:p>
    <w:p w14:paraId="2234E3BD" w14:textId="77777777" w:rsidR="000F5886" w:rsidRDefault="00000000">
      <w:pPr>
        <w:tabs>
          <w:tab w:val="left" w:pos="0"/>
        </w:tabs>
        <w:suppressAutoHyphens w:val="0"/>
        <w:ind w:right="72"/>
        <w:jc w:val="both"/>
        <w:rPr>
          <w:rFonts w:ascii="Garamond" w:hAnsi="Garamond" w:cs="Arial"/>
        </w:rPr>
      </w:pPr>
      <w:r>
        <w:rPr>
          <w:rFonts w:ascii="Garamond" w:hAnsi="Garamond" w:cs="Arial"/>
        </w:rPr>
        <w:t xml:space="preserve">L’ASP di Catanzaro si riserva di valutare la congruità delle offerte che appaiono anormalmente basse, applicando, eventualmente le norme del Codice dei Contratti. </w:t>
      </w:r>
    </w:p>
    <w:p w14:paraId="62118EE4" w14:textId="77777777" w:rsidR="000F5886" w:rsidRDefault="00000000">
      <w:pPr>
        <w:tabs>
          <w:tab w:val="left" w:pos="0"/>
        </w:tabs>
        <w:suppressAutoHyphens w:val="0"/>
        <w:ind w:right="72"/>
        <w:jc w:val="both"/>
        <w:rPr>
          <w:rFonts w:ascii="Garamond" w:hAnsi="Garamond"/>
        </w:rPr>
      </w:pPr>
      <w:r>
        <w:rPr>
          <w:rFonts w:ascii="Garamond" w:hAnsi="Garamond" w:cs="Arial"/>
          <w:b/>
          <w:bCs/>
        </w:rPr>
        <w:t>Saranno escluse dalla gara le offerte alternative, plurime o indeterminate o espresse in maniera parziale.</w:t>
      </w:r>
    </w:p>
    <w:p w14:paraId="56A3BABC" w14:textId="77777777" w:rsidR="000F5886" w:rsidRDefault="000F5886">
      <w:pPr>
        <w:spacing w:after="86"/>
        <w:jc w:val="both"/>
        <w:rPr>
          <w:rFonts w:ascii="Garamond" w:hAnsi="Garamond"/>
        </w:rPr>
      </w:pPr>
    </w:p>
    <w:p w14:paraId="623FAC71" w14:textId="77777777" w:rsidR="000F5886" w:rsidRDefault="00000000">
      <w:pPr>
        <w:pStyle w:val="Paragrafoelenco"/>
        <w:numPr>
          <w:ilvl w:val="0"/>
          <w:numId w:val="9"/>
        </w:numPr>
        <w:rPr>
          <w:rFonts w:cs="Arial"/>
          <w:b/>
          <w:bCs/>
          <w:color w:val="000000"/>
        </w:rPr>
      </w:pPr>
      <w:r>
        <w:rPr>
          <w:rFonts w:cs="Arial"/>
          <w:b/>
          <w:bCs/>
          <w:color w:val="000000"/>
        </w:rPr>
        <w:t>SOCCORSO ISTRUTTORIO</w:t>
      </w:r>
    </w:p>
    <w:p w14:paraId="3FC74557" w14:textId="77777777" w:rsidR="000F5886" w:rsidRDefault="00000000">
      <w:pPr>
        <w:jc w:val="both"/>
        <w:rPr>
          <w:rFonts w:ascii="Garamond" w:hAnsi="Garamond" w:cs="Arial"/>
        </w:rPr>
      </w:pPr>
      <w:r>
        <w:rPr>
          <w:rFonts w:ascii="Garamond" w:hAnsi="Garamond" w:cs="Arial"/>
        </w:rPr>
        <w:t xml:space="preserve">Salvo che al momento della scadenza del termine per la presentazione dell’offerta il documento sia presente nel fascicolo virtuale, l’operatore economico può - attraverso la procedura di soccorso istruttorio di cui all’art. 101, comma 1, </w:t>
      </w:r>
      <w:proofErr w:type="spellStart"/>
      <w:r>
        <w:rPr>
          <w:rFonts w:ascii="Garamond" w:hAnsi="Garamond" w:cs="Arial"/>
        </w:rPr>
        <w:t>lett</w:t>
      </w:r>
      <w:proofErr w:type="spellEnd"/>
      <w:r>
        <w:rPr>
          <w:rFonts w:ascii="Garamond" w:hAnsi="Garamond" w:cs="Arial"/>
        </w:rPr>
        <w:t xml:space="preserve"> a) e lett. b) del D. Lgs. n. 36/2023 – integrare e sanare, nel termine stabilito dalla stazione appaltante, ogni omissione, inesattezza o irregolarità della domanda di partecipazione, del documento di gara unico europeo e di ogni altro documento richiesto dalla stazione appaltante per la partecipazione alla procedura di gara, </w:t>
      </w:r>
      <w:r>
        <w:rPr>
          <w:rFonts w:ascii="Garamond" w:hAnsi="Garamond" w:cs="Arial"/>
          <w:b/>
          <w:bCs/>
          <w:u w:val="single"/>
        </w:rPr>
        <w:t>con esclusione della documentazione che compone l’offerta tecnica e l’offerta economica.</w:t>
      </w:r>
    </w:p>
    <w:p w14:paraId="5ABBEFB9" w14:textId="77777777" w:rsidR="000F5886" w:rsidRDefault="00000000">
      <w:pPr>
        <w:jc w:val="both"/>
        <w:rPr>
          <w:rFonts w:ascii="Garamond" w:hAnsi="Garamond"/>
        </w:rPr>
      </w:pPr>
      <w:r>
        <w:rPr>
          <w:rFonts w:ascii="Garamond" w:hAnsi="Garamond" w:cs="Arial"/>
        </w:rPr>
        <w:lastRenderedPageBreak/>
        <w:t xml:space="preserve">Nello specifico valgono le seguenti regole: </w:t>
      </w:r>
    </w:p>
    <w:p w14:paraId="76E8733B" w14:textId="77777777" w:rsidR="000F5886" w:rsidRDefault="00000000">
      <w:pPr>
        <w:pStyle w:val="Paragrafoelenco"/>
        <w:numPr>
          <w:ilvl w:val="0"/>
          <w:numId w:val="6"/>
        </w:numPr>
        <w:rPr>
          <w:sz w:val="22"/>
          <w:szCs w:val="22"/>
        </w:rPr>
      </w:pPr>
      <w:r>
        <w:rPr>
          <w:rFonts w:cs="Arial"/>
          <w:sz w:val="22"/>
          <w:szCs w:val="22"/>
        </w:rPr>
        <w:t>il mancato possesso dei prescritti requisiti di partecipazione non è sanabile mediante soccorso istruttorio e determina l’esclusione dalla procedura di gara;</w:t>
      </w:r>
    </w:p>
    <w:p w14:paraId="4E999545" w14:textId="77777777" w:rsidR="000F5886" w:rsidRDefault="00000000">
      <w:pPr>
        <w:pStyle w:val="Paragrafoelenco"/>
        <w:numPr>
          <w:ilvl w:val="0"/>
          <w:numId w:val="6"/>
        </w:numPr>
        <w:rPr>
          <w:sz w:val="22"/>
          <w:szCs w:val="22"/>
        </w:rPr>
      </w:pPr>
      <w:r>
        <w:rPr>
          <w:rFonts w:cs="Arial"/>
          <w:sz w:val="22"/>
          <w:szCs w:val="22"/>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75005533" w14:textId="6273BD50" w:rsidR="000F5886" w:rsidRDefault="00F5438F">
      <w:pPr>
        <w:pStyle w:val="Paragrafoelenco"/>
        <w:numPr>
          <w:ilvl w:val="0"/>
          <w:numId w:val="6"/>
        </w:numPr>
        <w:rPr>
          <w:sz w:val="22"/>
          <w:szCs w:val="22"/>
        </w:rPr>
      </w:pPr>
      <w:r>
        <w:rPr>
          <w:rFonts w:cs="Arial"/>
          <w:sz w:val="22"/>
          <w:szCs w:val="22"/>
        </w:rPr>
        <w:t>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14:paraId="28D17D44" w14:textId="77777777" w:rsidR="000F5886" w:rsidRDefault="00000000">
      <w:pPr>
        <w:pStyle w:val="Paragrafoelenco"/>
        <w:numPr>
          <w:ilvl w:val="0"/>
          <w:numId w:val="6"/>
        </w:numPr>
        <w:rPr>
          <w:sz w:val="22"/>
          <w:szCs w:val="22"/>
        </w:rPr>
      </w:pPr>
      <w:r>
        <w:rPr>
          <w:rFonts w:cs="Arial"/>
          <w:sz w:val="22"/>
          <w:szCs w:val="22"/>
        </w:rPr>
        <w:t xml:space="preserve">la mancata presentazione di elementi a corredo dell’offerta ovvero di condizioni di partecipazione gara </w:t>
      </w:r>
    </w:p>
    <w:p w14:paraId="07BF575F" w14:textId="77777777" w:rsidR="000F5886" w:rsidRDefault="00000000">
      <w:pPr>
        <w:pStyle w:val="Paragrafoelenco"/>
        <w:rPr>
          <w:sz w:val="22"/>
          <w:szCs w:val="22"/>
        </w:rPr>
      </w:pPr>
      <w:r>
        <w:rPr>
          <w:rFonts w:cs="Arial"/>
          <w:sz w:val="22"/>
          <w:szCs w:val="22"/>
        </w:rPr>
        <w:t>(es. mandato collettivo speciale o impegno a conferire mandato collettivo), entrambi aventi rilevanza in fase di gara, sono sanabili, solo se preesistenti e comprovabili con documenti di data certa, anteriore al termine di presentazione dell’offerta;</w:t>
      </w:r>
    </w:p>
    <w:p w14:paraId="52879DCB" w14:textId="77777777" w:rsidR="000F5886" w:rsidRDefault="00000000">
      <w:pPr>
        <w:pStyle w:val="Paragrafoelenco"/>
        <w:numPr>
          <w:ilvl w:val="0"/>
          <w:numId w:val="6"/>
        </w:numPr>
        <w:rPr>
          <w:sz w:val="22"/>
          <w:szCs w:val="22"/>
        </w:rPr>
      </w:pPr>
      <w:r>
        <w:rPr>
          <w:rFonts w:cs="Arial"/>
          <w:sz w:val="22"/>
          <w:szCs w:val="22"/>
        </w:rPr>
        <w:t>la mancata presentazione di dichiarazioni e/o elementi a corredo dell’offerta, che hanno rilevanza in fase esecutiva (es. dichiarazione delle parti della fornitura ai sensi dell’art. 48, comma 4 del Codice) sono sanabili.</w:t>
      </w:r>
    </w:p>
    <w:p w14:paraId="37BD5D1F" w14:textId="6E17AF10" w:rsidR="000F5886" w:rsidRDefault="00000000">
      <w:pPr>
        <w:jc w:val="both"/>
        <w:rPr>
          <w:rFonts w:ascii="Garamond" w:hAnsi="Garamond" w:cs="Arial"/>
        </w:rPr>
      </w:pPr>
      <w:r>
        <w:rPr>
          <w:rFonts w:ascii="Garamond" w:hAnsi="Garamond" w:cs="Arial"/>
        </w:rPr>
        <w:t xml:space="preserve">Ove il concorrente produca dichiarazioni o documenti non perfettamente </w:t>
      </w:r>
      <w:r w:rsidR="00FD00E9">
        <w:rPr>
          <w:rFonts w:ascii="Garamond" w:hAnsi="Garamond" w:cs="Arial"/>
        </w:rPr>
        <w:t>esaustivi</w:t>
      </w:r>
      <w:r>
        <w:rPr>
          <w:rFonts w:ascii="Garamond" w:hAnsi="Garamond" w:cs="Arial"/>
        </w:rPr>
        <w:t xml:space="preserve"> </w:t>
      </w:r>
      <w:r w:rsidR="00FD00E9">
        <w:rPr>
          <w:rFonts w:ascii="Garamond" w:hAnsi="Garamond" w:cs="Arial"/>
        </w:rPr>
        <w:t>rispetto al</w:t>
      </w:r>
      <w:r>
        <w:rPr>
          <w:rFonts w:ascii="Garamond" w:hAnsi="Garamond" w:cs="Arial"/>
        </w:rPr>
        <w:t>la richiesta, la Stazione Appaltante può chiedere ulteriori precisazioni o chiarimenti, fissando un termine perentorio a pena di esclusione.</w:t>
      </w:r>
    </w:p>
    <w:p w14:paraId="76AA4912" w14:textId="77777777" w:rsidR="000F5886" w:rsidRDefault="00000000">
      <w:pPr>
        <w:jc w:val="both"/>
        <w:rPr>
          <w:rFonts w:ascii="Garamond" w:hAnsi="Garamond" w:cs="Arial"/>
        </w:rPr>
      </w:pPr>
      <w:r>
        <w:rPr>
          <w:rFonts w:ascii="Garamond" w:hAnsi="Garamond" w:cs="Arial"/>
        </w:rPr>
        <w:t xml:space="preserve">La stazione appaltante può sempre richiedere chiarimenti sui contenuti dell’offerta tecnica e dell’offerta economica e su ogni loro allegato. L’operatore economico è tenuto a fornire risposta nel termine fissato dalla stazione appaltante. </w:t>
      </w:r>
      <w:r>
        <w:rPr>
          <w:rFonts w:ascii="Garamond" w:hAnsi="Garamond" w:cs="Arial"/>
          <w:b/>
          <w:bCs/>
        </w:rPr>
        <w:t>I chiarimenti resi dall’operatore economico non possono modificare il contenuto dell’offerta tecnica e dell’offerta economica.</w:t>
      </w:r>
    </w:p>
    <w:p w14:paraId="7DC23D6F" w14:textId="77777777" w:rsidR="000F5886" w:rsidRDefault="00000000">
      <w:pPr>
        <w:jc w:val="both"/>
        <w:rPr>
          <w:rFonts w:ascii="Garamond" w:hAnsi="Garamond"/>
        </w:rPr>
      </w:pPr>
      <w:r>
        <w:rPr>
          <w:rFonts w:ascii="Garamond" w:hAnsi="Garamond" w:cs="Arial"/>
        </w:rPr>
        <w:t>In caso di inutile decorso del termine, la Stazione Appaltante procede all’esclusione del concorrente dalla procedura.</w:t>
      </w:r>
    </w:p>
    <w:p w14:paraId="1FBBBBF2" w14:textId="77777777" w:rsidR="000F5886" w:rsidRDefault="00000000">
      <w:pPr>
        <w:jc w:val="both"/>
        <w:rPr>
          <w:rFonts w:ascii="Garamond" w:hAnsi="Garamond"/>
        </w:rPr>
      </w:pPr>
      <w:bookmarkStart w:id="2" w:name="_Ref481767076"/>
      <w:bookmarkStart w:id="3" w:name="_Ref481767068"/>
      <w:r>
        <w:rPr>
          <w:rFonts w:ascii="Garamond" w:hAnsi="Garamond" w:cs="Arial"/>
        </w:rPr>
        <w:t xml:space="preserve">Al di fuori delle ipotesi di cui all’articolo 101 </w:t>
      </w:r>
      <w:proofErr w:type="gramStart"/>
      <w:r>
        <w:rPr>
          <w:rFonts w:ascii="Garamond" w:hAnsi="Garamond" w:cs="Arial"/>
        </w:rPr>
        <w:t>d lgs</w:t>
      </w:r>
      <w:proofErr w:type="gramEnd"/>
      <w:r>
        <w:rPr>
          <w:rFonts w:ascii="Garamond" w:hAnsi="Garamond" w:cs="Arial"/>
        </w:rPr>
        <w:t>. n. 36/2023, è facoltà della Stazione Appaltante invitare, se necessario, i concorrenti a fornire chiarimenti in ordine al contenuto dei certificati, documenti e dichiarazioni presentati.</w:t>
      </w:r>
      <w:bookmarkEnd w:id="2"/>
      <w:bookmarkEnd w:id="3"/>
    </w:p>
    <w:p w14:paraId="0025E6B2" w14:textId="77777777" w:rsidR="000F5886" w:rsidRDefault="000F5886">
      <w:pPr>
        <w:jc w:val="center"/>
        <w:rPr>
          <w:rFonts w:ascii="Garamond" w:hAnsi="Garamond" w:cs="Arial"/>
          <w:b/>
          <w:bCs/>
          <w:color w:val="000000"/>
        </w:rPr>
      </w:pPr>
    </w:p>
    <w:p w14:paraId="490FDB7C" w14:textId="77777777" w:rsidR="000F5886" w:rsidRDefault="00000000">
      <w:pPr>
        <w:pStyle w:val="Paragrafoelenco"/>
        <w:numPr>
          <w:ilvl w:val="0"/>
          <w:numId w:val="9"/>
        </w:numPr>
      </w:pPr>
      <w:r>
        <w:rPr>
          <w:rFonts w:cs="Arial"/>
          <w:b/>
        </w:rPr>
        <w:t xml:space="preserve">ESECUZIONE DELLA FORNITURA </w:t>
      </w:r>
    </w:p>
    <w:p w14:paraId="0063ECF5" w14:textId="190181B1" w:rsidR="000F5886" w:rsidRDefault="00000000">
      <w:pPr>
        <w:jc w:val="both"/>
        <w:rPr>
          <w:rFonts w:ascii="Garamond" w:hAnsi="Garamond" w:cs="Arial"/>
        </w:rPr>
      </w:pPr>
      <w:r>
        <w:rPr>
          <w:rFonts w:ascii="Garamond" w:hAnsi="Garamond" w:cs="Arial"/>
        </w:rPr>
        <w:t xml:space="preserve">Previa verifica dei requisiti di cui agli artt. 94, 95, 96, </w:t>
      </w:r>
      <w:r w:rsidR="0063038D">
        <w:rPr>
          <w:rFonts w:ascii="Garamond" w:hAnsi="Garamond" w:cs="Arial"/>
        </w:rPr>
        <w:t xml:space="preserve">97, </w:t>
      </w:r>
      <w:r>
        <w:rPr>
          <w:rFonts w:ascii="Garamond" w:hAnsi="Garamond" w:cs="Arial"/>
        </w:rPr>
        <w:t xml:space="preserve">98 del </w:t>
      </w:r>
      <w:proofErr w:type="gramStart"/>
      <w:r>
        <w:rPr>
          <w:rFonts w:ascii="Garamond" w:hAnsi="Garamond" w:cs="Arial"/>
        </w:rPr>
        <w:t>d lgs</w:t>
      </w:r>
      <w:proofErr w:type="gramEnd"/>
      <w:r>
        <w:rPr>
          <w:rFonts w:ascii="Garamond" w:hAnsi="Garamond" w:cs="Arial"/>
        </w:rPr>
        <w:t>. 36/2023 e richiesta di verifica antimafia, l’operatore economico aggiudicatario, ad avvenuta ricezione telematica del contratto e del successivo ordine di acquisto (che, “</w:t>
      </w:r>
      <w:r>
        <w:rPr>
          <w:rFonts w:ascii="Garamond" w:hAnsi="Garamond" w:cs="Arial"/>
          <w:i/>
        </w:rPr>
        <w:t xml:space="preserve">Nel rispetto dei L.E.A. (Livelli Essenziali di Assistenza) in situazioni di grave urgenza, nel rispetto dell’art. 32 della Cost. Ital., questa Azienda si riserva di avvalersi dell’esecuzione anticipata del contratto ai sensi dell’art. 50, comma 6, d. lgs. n. 36/2023 e </w:t>
      </w:r>
      <w:proofErr w:type="spellStart"/>
      <w:r>
        <w:rPr>
          <w:rFonts w:ascii="Garamond" w:hAnsi="Garamond" w:cs="Arial"/>
          <w:i/>
        </w:rPr>
        <w:t>smi</w:t>
      </w:r>
      <w:proofErr w:type="spellEnd"/>
      <w:r>
        <w:rPr>
          <w:rFonts w:ascii="Garamond" w:hAnsi="Garamond" w:cs="Arial"/>
          <w:i/>
        </w:rPr>
        <w:t xml:space="preserve"> e art. 92 co. 3 Legge 159/2011)</w:t>
      </w:r>
      <w:r>
        <w:rPr>
          <w:rFonts w:ascii="Garamond" w:hAnsi="Garamond" w:cs="Arial"/>
        </w:rPr>
        <w:t xml:space="preserve">, dovrà consegnare i prodotti ordinati, nel termine indicato nella scheda della T.D. Detto termine è tassativo e la sua inosservanza comporterà, a carico del fornitore, l’applicazione delle penali per come sotto specificate (v. </w:t>
      </w:r>
      <w:r>
        <w:rPr>
          <w:rFonts w:ascii="Garamond" w:hAnsi="Garamond" w:cs="Arial"/>
          <w:i/>
          <w:iCs/>
        </w:rPr>
        <w:t>infra</w:t>
      </w:r>
      <w:r>
        <w:rPr>
          <w:rFonts w:ascii="Garamond" w:hAnsi="Garamond" w:cs="Arial"/>
        </w:rPr>
        <w:t>) e fatto salvo il risarcimento del maggior danno. La consegna e il collaudo dovranno essere effettuate dei giorni feriali (dal lunedì al venerdì) presso le farmacie territoriali e interne dei Poli Ospedalieri dell'ASP di Catanzaro ai Responsabili e/o loro delegati.</w:t>
      </w:r>
    </w:p>
    <w:p w14:paraId="2AEB2785" w14:textId="77777777" w:rsidR="00FB4B12" w:rsidRDefault="00FB4B12">
      <w:pPr>
        <w:jc w:val="both"/>
        <w:rPr>
          <w:rFonts w:ascii="Garamond" w:hAnsi="Garamond" w:cs="Arial"/>
        </w:rPr>
      </w:pPr>
    </w:p>
    <w:p w14:paraId="689DF490" w14:textId="3EBF89E0" w:rsidR="00FB4B12" w:rsidRPr="00FB4B12" w:rsidRDefault="00FB4B12" w:rsidP="00FB4B12">
      <w:pPr>
        <w:pStyle w:val="Paragrafoelenco"/>
        <w:numPr>
          <w:ilvl w:val="0"/>
          <w:numId w:val="9"/>
        </w:numPr>
        <w:rPr>
          <w:b/>
          <w:bCs/>
        </w:rPr>
      </w:pPr>
      <w:r w:rsidRPr="00FB4B12">
        <w:rPr>
          <w:b/>
          <w:bCs/>
        </w:rPr>
        <w:t>SUBAPPALTO E DIVIETO DI CESSIONE DEL CONTRATTO</w:t>
      </w:r>
    </w:p>
    <w:p w14:paraId="0EBC3359" w14:textId="77777777" w:rsidR="00FB4B12" w:rsidRPr="00FB4B12" w:rsidRDefault="00FB4B12" w:rsidP="00FB4B12">
      <w:pPr>
        <w:jc w:val="both"/>
        <w:rPr>
          <w:rFonts w:ascii="Garamond" w:hAnsi="Garamond"/>
        </w:rPr>
      </w:pPr>
      <w:r w:rsidRPr="00FB4B12">
        <w:rPr>
          <w:rFonts w:ascii="Garamond" w:hAnsi="Garamond"/>
        </w:rPr>
        <w:t xml:space="preserve">Il contratto non può essere ceduto, a pena di nullità. </w:t>
      </w:r>
    </w:p>
    <w:p w14:paraId="3B2396B0" w14:textId="650A9A8C" w:rsidR="00FB4B12" w:rsidRDefault="00FB4B12" w:rsidP="00FB4B12">
      <w:pPr>
        <w:jc w:val="both"/>
        <w:rPr>
          <w:rFonts w:ascii="Garamond" w:hAnsi="Garamond"/>
        </w:rPr>
      </w:pPr>
      <w:r w:rsidRPr="00FB4B12">
        <w:rPr>
          <w:rFonts w:ascii="Garamond" w:hAnsi="Garamond"/>
        </w:rPr>
        <w:t>Previa autorizzazione della stazione appaltante e nel rispetto dell'articolo 119, D. lgs. n. 36/2023, i servizi che l'appaltatore ha indicato a tale scopo in sede di offerta possono essere subappaltati, nella misura, alle condizioni e con i limiti e le modalità previste dalla normativa vigente. Nel caso di subappalto è fatto obbligo all’appaltatore di trasmettere, entro venti giorni dalla data di ciascun pagamento effettuato nei suoi confronti, copia delle fatture quietanzate relative ai pagamenti corrisposti al subappaltatore.</w:t>
      </w:r>
    </w:p>
    <w:p w14:paraId="418A5453" w14:textId="35C37E43" w:rsidR="00FB182B" w:rsidRPr="00FB182B" w:rsidRDefault="00FB182B" w:rsidP="00FB182B">
      <w:pPr>
        <w:jc w:val="both"/>
        <w:rPr>
          <w:rFonts w:ascii="Garamond" w:hAnsi="Garamond"/>
        </w:rPr>
      </w:pPr>
      <w:r w:rsidRPr="00FB182B">
        <w:rPr>
          <w:rFonts w:ascii="Garamond" w:hAnsi="Garamond"/>
        </w:rPr>
        <w:t>Al fine di prevenire il rischio di infiltrazioni criminali è vietato il c.d. “subappalto a cascata”, ovverossia forniture e/o servizi oggetto di ulteriore subappalto, eccetto nei casi di iscrizione dei subappaltatori nell’elenco di cui all’art. 1 comma 52 L. 190/2012.</w:t>
      </w:r>
    </w:p>
    <w:p w14:paraId="2E894900" w14:textId="72D1BA48" w:rsidR="00FB182B" w:rsidRDefault="00FB182B" w:rsidP="00FB182B">
      <w:pPr>
        <w:jc w:val="both"/>
        <w:rPr>
          <w:rFonts w:ascii="Garamond" w:hAnsi="Garamond"/>
        </w:rPr>
      </w:pPr>
      <w:r w:rsidRPr="00FB182B">
        <w:rPr>
          <w:rFonts w:ascii="Garamond" w:hAnsi="Garamond"/>
        </w:rPr>
        <w:t>Non è ammesso il subappalto qualora l’aggiudicatario abbia dichiarato di non avvalersi del subappalto in sede di offerta.</w:t>
      </w:r>
    </w:p>
    <w:p w14:paraId="14862AC1" w14:textId="77777777" w:rsidR="000F5886" w:rsidRDefault="000F5886">
      <w:pPr>
        <w:jc w:val="both"/>
        <w:rPr>
          <w:rFonts w:ascii="Garamond" w:hAnsi="Garamond" w:cs="Arial"/>
        </w:rPr>
      </w:pPr>
    </w:p>
    <w:p w14:paraId="7A22E6FB" w14:textId="77777777" w:rsidR="000F5886" w:rsidRDefault="00000000">
      <w:pPr>
        <w:pStyle w:val="Paragrafoelenco"/>
        <w:numPr>
          <w:ilvl w:val="0"/>
          <w:numId w:val="9"/>
        </w:numPr>
      </w:pPr>
      <w:r>
        <w:rPr>
          <w:rFonts w:cs="Arial"/>
          <w:b/>
        </w:rPr>
        <w:lastRenderedPageBreak/>
        <w:t>RISOLUZIONE DEL CONTRATTO</w:t>
      </w:r>
    </w:p>
    <w:p w14:paraId="28043496" w14:textId="77777777" w:rsidR="000F5886" w:rsidRDefault="00000000">
      <w:pPr>
        <w:jc w:val="both"/>
        <w:rPr>
          <w:rFonts w:ascii="Garamond" w:hAnsi="Garamond"/>
        </w:rPr>
      </w:pPr>
      <w:r>
        <w:rPr>
          <w:rFonts w:ascii="Garamond" w:hAnsi="Garamond" w:cs="Arial"/>
        </w:rPr>
        <w:t>L’Azienda si riserva la facoltà di risolvere unilateralmente il contratto, senza che l’impresa possa avanzare diritto alcuno tranne quanto dovuto per le prestazioni eventualmente rese, nei seguenti casi:</w:t>
      </w:r>
    </w:p>
    <w:p w14:paraId="44621EDB" w14:textId="77777777" w:rsidR="000F5886" w:rsidRDefault="00000000">
      <w:pPr>
        <w:numPr>
          <w:ilvl w:val="0"/>
          <w:numId w:val="7"/>
        </w:numPr>
        <w:jc w:val="both"/>
        <w:rPr>
          <w:rFonts w:ascii="Garamond" w:hAnsi="Garamond"/>
        </w:rPr>
      </w:pPr>
      <w:r>
        <w:rPr>
          <w:rFonts w:ascii="Garamond" w:hAnsi="Garamond" w:cs="Arial"/>
        </w:rPr>
        <w:t>In qualsiasi momento dell’esecuzione, avvalendosi della facoltà dell’art. 1671 del codice civile tenendo indenne</w:t>
      </w:r>
      <w:r>
        <w:rPr>
          <w:rFonts w:ascii="Garamond" w:eastAsia="Garamond" w:hAnsi="Garamond" w:cs="Arial"/>
        </w:rPr>
        <w:t xml:space="preserve"> </w:t>
      </w:r>
      <w:r>
        <w:rPr>
          <w:rFonts w:ascii="Garamond" w:hAnsi="Garamond" w:cs="Arial"/>
        </w:rPr>
        <w:t>l’impresa aggiudicataria delle spese sostenute e delle prestazioni eseguite.</w:t>
      </w:r>
    </w:p>
    <w:p w14:paraId="03469287" w14:textId="77777777" w:rsidR="000F5886" w:rsidRDefault="00000000">
      <w:pPr>
        <w:numPr>
          <w:ilvl w:val="0"/>
          <w:numId w:val="7"/>
        </w:numPr>
        <w:jc w:val="both"/>
        <w:rPr>
          <w:rFonts w:ascii="Garamond" w:hAnsi="Garamond"/>
        </w:rPr>
      </w:pPr>
      <w:r>
        <w:rPr>
          <w:rFonts w:ascii="Garamond" w:hAnsi="Garamond" w:cs="Arial"/>
        </w:rPr>
        <w:t>In caso di frode, di grave negligenza, di contravvenzione nell’esecuzione degli obblighi e condizioni contrattuali. In caso di cessione delle attività, oppure nel caso di concordato preventivo, di fallimento, di stato di moratoria e di conseguenti atti di sequestro o di pignoramento a carico dell’impresa aggiudicataria.</w:t>
      </w:r>
    </w:p>
    <w:p w14:paraId="456FE5C9" w14:textId="77777777" w:rsidR="000F5886" w:rsidRDefault="00000000">
      <w:pPr>
        <w:numPr>
          <w:ilvl w:val="0"/>
          <w:numId w:val="7"/>
        </w:numPr>
        <w:jc w:val="both"/>
        <w:rPr>
          <w:rFonts w:ascii="Garamond" w:hAnsi="Garamond"/>
        </w:rPr>
      </w:pPr>
      <w:r>
        <w:rPr>
          <w:rFonts w:ascii="Garamond" w:hAnsi="Garamond" w:cs="Arial"/>
        </w:rPr>
        <w:t>Nei casi di subappalto e/o cessione dei crediti non autorizzati dall’ASP.</w:t>
      </w:r>
    </w:p>
    <w:p w14:paraId="70CF3852" w14:textId="77777777" w:rsidR="000F5886" w:rsidRDefault="00000000">
      <w:pPr>
        <w:numPr>
          <w:ilvl w:val="0"/>
          <w:numId w:val="7"/>
        </w:numPr>
        <w:jc w:val="both"/>
        <w:rPr>
          <w:rFonts w:ascii="Garamond" w:hAnsi="Garamond"/>
        </w:rPr>
      </w:pPr>
      <w:r>
        <w:rPr>
          <w:rFonts w:ascii="Garamond" w:hAnsi="Garamond" w:cs="Arial"/>
        </w:rPr>
        <w:t>Qualora il fornitore perda i requisiti minimi richiesti per l’affidamento dell’appalto previsti nel presente invito.</w:t>
      </w:r>
    </w:p>
    <w:p w14:paraId="58B08CA3" w14:textId="77777777" w:rsidR="000F5886" w:rsidRDefault="00000000">
      <w:pPr>
        <w:numPr>
          <w:ilvl w:val="0"/>
          <w:numId w:val="7"/>
        </w:numPr>
        <w:jc w:val="both"/>
        <w:rPr>
          <w:rFonts w:ascii="Garamond" w:hAnsi="Garamond"/>
        </w:rPr>
      </w:pPr>
      <w:r>
        <w:rPr>
          <w:rFonts w:ascii="Garamond" w:hAnsi="Garamond" w:cs="Arial"/>
        </w:rPr>
        <w:t xml:space="preserve">Per l’accertata inosservanza delle norme di legge riguardanti l’esecuzione del contratto.  </w:t>
      </w:r>
    </w:p>
    <w:p w14:paraId="081023F5" w14:textId="77777777" w:rsidR="000F5886" w:rsidRDefault="00000000">
      <w:pPr>
        <w:numPr>
          <w:ilvl w:val="0"/>
          <w:numId w:val="7"/>
        </w:numPr>
        <w:jc w:val="both"/>
        <w:rPr>
          <w:rFonts w:ascii="Garamond" w:hAnsi="Garamond" w:cs="Arial"/>
        </w:rPr>
      </w:pPr>
      <w:r>
        <w:rPr>
          <w:rFonts w:ascii="Garamond" w:hAnsi="Garamond" w:cs="Arial"/>
        </w:rPr>
        <w:t xml:space="preserve">Di aggiudicazioni sopraggiunte da parte delle centrali committenti come previsto dalle disposizioni di legge nazionali e in conformità alle ulteriori previsioni del Decreto Legge n. 35/19 convertito nella Legge n. 60/19 e della Misure urgenti per il rilancio del servizio sanitario della regione Calabria. </w:t>
      </w:r>
    </w:p>
    <w:p w14:paraId="6E402034" w14:textId="77777777" w:rsidR="000F5886" w:rsidRDefault="000F5886">
      <w:pPr>
        <w:ind w:left="1191"/>
        <w:jc w:val="both"/>
        <w:rPr>
          <w:rFonts w:ascii="Garamond" w:hAnsi="Garamond" w:cs="Arial"/>
        </w:rPr>
      </w:pPr>
    </w:p>
    <w:p w14:paraId="2D205F8E" w14:textId="77777777" w:rsidR="000F5886" w:rsidRDefault="00000000">
      <w:pPr>
        <w:pStyle w:val="Paragrafoelenco"/>
        <w:numPr>
          <w:ilvl w:val="0"/>
          <w:numId w:val="9"/>
        </w:numPr>
      </w:pPr>
      <w:r>
        <w:rPr>
          <w:rFonts w:cs="Arial"/>
          <w:b/>
        </w:rPr>
        <w:t>ACCERTAMENTO CONFORMITA’ FORNITURA</w:t>
      </w:r>
    </w:p>
    <w:p w14:paraId="4DFE9D62" w14:textId="77777777" w:rsidR="000F5886" w:rsidRDefault="00000000">
      <w:pPr>
        <w:ind w:right="72"/>
        <w:jc w:val="both"/>
        <w:rPr>
          <w:rFonts w:ascii="Garamond" w:hAnsi="Garamond"/>
        </w:rPr>
      </w:pPr>
      <w:r>
        <w:rPr>
          <w:rFonts w:ascii="Garamond" w:hAnsi="Garamond" w:cs="Arial"/>
        </w:rPr>
        <w:t xml:space="preserve">Ai sensi dell’art. 4 c. 2 e c. 6 della Legge n. 231/2002, l’accertamento della conformità della fornitura entro 10 (dieci) giorni dalla data di consegna della stessa, sarà demandata, per quanto di competenza, al Responsabile del Servizio richiedente.  </w:t>
      </w:r>
    </w:p>
    <w:p w14:paraId="3BE8876D" w14:textId="77777777" w:rsidR="000F5886" w:rsidRDefault="00000000">
      <w:pPr>
        <w:ind w:right="72"/>
        <w:jc w:val="both"/>
        <w:rPr>
          <w:rFonts w:ascii="Garamond" w:hAnsi="Garamond"/>
        </w:rPr>
      </w:pPr>
      <w:r>
        <w:rPr>
          <w:rFonts w:ascii="Garamond" w:hAnsi="Garamond" w:cs="Arial"/>
          <w:color w:val="000000"/>
        </w:rPr>
        <w:t>Il Responsabile richiedente e/o Suo Delegato provvederà al successivo caricamento del documento di   trasporto nel Sistema SEC-SISR. Inoltre, in presenza di conformità della fornitura, il pagamento della fattura avverrà, ai sensi dell’art. 4 c. 4 della Legge n. 231/2002, entro 60 (sessanta) giorni dalla presentazione sul Sistema di interscambio, salva eventuale contestazione nei successivi 15 (quindici) giorni dalla presentazione della fattura. Si dà atto che le spese derivanti dall’inoltro di fatture elettroniche da parte del Fornitore sulla base dell’ordine che sarà emesso in esecuzione all’atto di aggiudicazione, saranno pagate, previo riscontro di competenza, mediante mandato, dall’UO GREF che annoterà il valore dell’acquisto di che trattasi, oggetto di aggiudicazione, sul pertinente conto economico del bilancio di competenza.</w:t>
      </w:r>
    </w:p>
    <w:p w14:paraId="62A03DBB" w14:textId="77777777" w:rsidR="000F5886" w:rsidRDefault="000F5886">
      <w:pPr>
        <w:jc w:val="center"/>
        <w:rPr>
          <w:rFonts w:ascii="Garamond" w:hAnsi="Garamond" w:cs="Arial"/>
        </w:rPr>
      </w:pPr>
    </w:p>
    <w:p w14:paraId="5E08E303" w14:textId="77777777" w:rsidR="00FE432F" w:rsidRPr="00FE432F" w:rsidRDefault="00000000" w:rsidP="00FE432F">
      <w:pPr>
        <w:pStyle w:val="Paragrafoelenco"/>
        <w:numPr>
          <w:ilvl w:val="0"/>
          <w:numId w:val="9"/>
        </w:numPr>
      </w:pPr>
      <w:r>
        <w:rPr>
          <w:rFonts w:cs="Arial"/>
          <w:b/>
          <w:spacing w:val="-4"/>
        </w:rPr>
        <w:t>FATTURAZIONE E PAGAMENTI</w:t>
      </w:r>
    </w:p>
    <w:p w14:paraId="64D6D3C6" w14:textId="3307D9C8" w:rsidR="00FE432F" w:rsidRPr="00FE432F" w:rsidRDefault="00FE432F" w:rsidP="0064134F">
      <w:pPr>
        <w:tabs>
          <w:tab w:val="left" w:pos="-2"/>
        </w:tabs>
        <w:jc w:val="both"/>
        <w:rPr>
          <w:rFonts w:ascii="Garamond" w:hAnsi="Garamond" w:cs="Arial"/>
          <w:color w:val="000000"/>
        </w:rPr>
      </w:pPr>
      <w:r w:rsidRPr="00FE432F">
        <w:rPr>
          <w:rFonts w:ascii="Garamond" w:hAnsi="Garamond" w:cs="Arial"/>
          <w:color w:val="000000"/>
        </w:rPr>
        <w:t>Con la partecipazione alla presente procedura di gara, la ditta aggiudicataria ad avvenuta consegna e regolare verifica di conformità emetterà fattura elettronica (con allegazione dei DDT) con pagamento entro il termine di legge. L’affidatario assumerà tutti gli obblighi di tracciabilità dei flussi finanziari di cui alla Legge n.</w:t>
      </w:r>
      <w:r w:rsidR="0064134F">
        <w:rPr>
          <w:rFonts w:ascii="Garamond" w:hAnsi="Garamond" w:cs="Arial"/>
          <w:color w:val="000000"/>
        </w:rPr>
        <w:t xml:space="preserve"> </w:t>
      </w:r>
      <w:r w:rsidRPr="00FE432F">
        <w:rPr>
          <w:rFonts w:ascii="Garamond" w:hAnsi="Garamond" w:cs="Arial"/>
          <w:color w:val="000000"/>
        </w:rPr>
        <w:t xml:space="preserve">136/2010. Codice IPA: </w:t>
      </w:r>
      <w:r w:rsidRPr="0064134F">
        <w:rPr>
          <w:rFonts w:ascii="Garamond" w:hAnsi="Garamond" w:cs="Arial"/>
          <w:b/>
          <w:bCs/>
          <w:color w:val="000000"/>
        </w:rPr>
        <w:t>VJMJV6</w:t>
      </w:r>
      <w:r w:rsidRPr="00FE432F">
        <w:rPr>
          <w:rFonts w:ascii="Garamond" w:hAnsi="Garamond" w:cs="Arial"/>
          <w:color w:val="000000"/>
        </w:rPr>
        <w:t>.</w:t>
      </w:r>
    </w:p>
    <w:p w14:paraId="464C185F" w14:textId="77777777" w:rsidR="000F5886" w:rsidRDefault="000F5886">
      <w:pPr>
        <w:tabs>
          <w:tab w:val="left" w:pos="-1134"/>
          <w:tab w:val="left" w:pos="-568"/>
          <w:tab w:val="left" w:pos="-2"/>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rPr>
          <w:rFonts w:ascii="Garamond" w:hAnsi="Garamond"/>
        </w:rPr>
      </w:pPr>
    </w:p>
    <w:p w14:paraId="704FCEA6" w14:textId="77777777" w:rsidR="000F5886" w:rsidRDefault="00000000">
      <w:pPr>
        <w:pStyle w:val="Paragrafoelenco"/>
        <w:numPr>
          <w:ilvl w:val="0"/>
          <w:numId w:val="9"/>
        </w:numPr>
        <w:rPr>
          <w:rFonts w:cs="Arial"/>
          <w:b/>
          <w:bCs/>
        </w:rPr>
      </w:pPr>
      <w:r>
        <w:rPr>
          <w:rFonts w:cs="Arial"/>
          <w:b/>
          <w:spacing w:val="-1"/>
        </w:rPr>
        <w:t>PENALITÀ</w:t>
      </w:r>
    </w:p>
    <w:p w14:paraId="40B7A3DA" w14:textId="77777777" w:rsidR="000F5886" w:rsidRDefault="00000000">
      <w:pPr>
        <w:pStyle w:val="Paragrafoelenco"/>
        <w:tabs>
          <w:tab w:val="left" w:pos="0"/>
        </w:tabs>
        <w:ind w:left="0"/>
        <w:rPr>
          <w:rFonts w:cs="Arial"/>
          <w:sz w:val="22"/>
          <w:szCs w:val="22"/>
        </w:rPr>
      </w:pPr>
      <w:r>
        <w:rPr>
          <w:rFonts w:cs="Arial"/>
          <w:sz w:val="22"/>
          <w:szCs w:val="22"/>
        </w:rPr>
        <w:t>I contratti di appalto prevedono penali per il ritardo nell’esecuzione delle prestazioni contrattuali da parte dell’appaltatore commisurate ai giorni di ritardo e proporzionali rispetto all’importo del contratto o delle prestazioni contrattuali.</w:t>
      </w:r>
    </w:p>
    <w:p w14:paraId="6015AB40" w14:textId="77777777" w:rsidR="000F5886" w:rsidRDefault="00000000">
      <w:pPr>
        <w:rPr>
          <w:rFonts w:ascii="Garamond" w:hAnsi="Garamond" w:cs="Arial"/>
          <w:b/>
        </w:rPr>
      </w:pPr>
      <w:r>
        <w:rPr>
          <w:rFonts w:ascii="Garamond" w:hAnsi="Garamond" w:cs="Arial"/>
        </w:rPr>
        <w:t>In particolare, in caso di ritardo nella consegna, si applicheranno le</w:t>
      </w:r>
      <w:r>
        <w:rPr>
          <w:rFonts w:ascii="Garamond" w:hAnsi="Garamond" w:cs="Arial"/>
          <w:b/>
        </w:rPr>
        <w:t xml:space="preserve"> seguenti penalità:</w:t>
      </w:r>
    </w:p>
    <w:p w14:paraId="3A5793E9" w14:textId="77777777" w:rsidR="000F5886" w:rsidRDefault="00000000">
      <w:pPr>
        <w:spacing w:after="29"/>
        <w:ind w:left="142"/>
        <w:rPr>
          <w:rFonts w:ascii="Garamond" w:hAnsi="Garamond"/>
        </w:rPr>
      </w:pPr>
      <w:r>
        <w:rPr>
          <w:rFonts w:ascii="Garamond" w:hAnsi="Garamond" w:cs="Arial"/>
          <w:b/>
        </w:rPr>
        <w:t>-</w:t>
      </w:r>
      <w:r>
        <w:rPr>
          <w:rFonts w:ascii="Garamond" w:hAnsi="Garamond" w:cs="Arial"/>
        </w:rPr>
        <w:t>0.3 per mille dell’intero valore della fornitura dal ° al 15° giorno;</w:t>
      </w:r>
    </w:p>
    <w:p w14:paraId="4CD22D6E" w14:textId="77777777" w:rsidR="000F5886" w:rsidRDefault="00000000">
      <w:pPr>
        <w:ind w:left="144"/>
        <w:jc w:val="both"/>
        <w:rPr>
          <w:rFonts w:ascii="Garamond" w:hAnsi="Garamond"/>
        </w:rPr>
      </w:pPr>
      <w:r>
        <w:rPr>
          <w:rFonts w:ascii="Garamond" w:hAnsi="Garamond" w:cs="Arial"/>
        </w:rPr>
        <w:t>-0.5 per mille dell’intero valore della fornitura dal 1° al 30° giorno se il ritardo supera il 15°;</w:t>
      </w:r>
    </w:p>
    <w:p w14:paraId="3625C25B" w14:textId="77777777" w:rsidR="000F5886" w:rsidRDefault="00000000">
      <w:pPr>
        <w:ind w:left="144"/>
        <w:jc w:val="both"/>
        <w:rPr>
          <w:rFonts w:ascii="Garamond" w:hAnsi="Garamond"/>
        </w:rPr>
      </w:pPr>
      <w:r>
        <w:rPr>
          <w:rFonts w:ascii="Garamond" w:hAnsi="Garamond" w:cs="Arial"/>
        </w:rPr>
        <w:t>-1 per mille dell’intero valore della fornitura dal 1° al 45° giorno se il ritardo supera il 30° giorno;</w:t>
      </w:r>
    </w:p>
    <w:p w14:paraId="619DFE64" w14:textId="77777777" w:rsidR="000F5886" w:rsidRDefault="00000000">
      <w:pPr>
        <w:tabs>
          <w:tab w:val="left" w:pos="426"/>
        </w:tabs>
        <w:jc w:val="both"/>
        <w:rPr>
          <w:rFonts w:ascii="Garamond" w:hAnsi="Garamond" w:cs="Arial"/>
          <w:color w:val="000000"/>
        </w:rPr>
      </w:pPr>
      <w:r>
        <w:rPr>
          <w:rFonts w:ascii="Garamond" w:hAnsi="Garamond" w:cs="Arial"/>
          <w:color w:val="000000"/>
          <w:spacing w:val="2"/>
        </w:rPr>
        <w:t xml:space="preserve">È fatta salva la facoltà dell’Azienda Sanitaria di chiedere alla Società inadempiente, oltre alle penali previste, il risarcimento degli </w:t>
      </w:r>
      <w:r>
        <w:rPr>
          <w:rFonts w:ascii="Garamond" w:hAnsi="Garamond" w:cs="Arial"/>
          <w:color w:val="000000"/>
        </w:rPr>
        <w:t>eventuali danni subiti e di approvvigionarsi al libero mercato.</w:t>
      </w:r>
    </w:p>
    <w:p w14:paraId="05351A4C" w14:textId="77777777" w:rsidR="000F5886" w:rsidRDefault="000F5886">
      <w:pPr>
        <w:rPr>
          <w:rFonts w:ascii="Garamond" w:hAnsi="Garamond" w:cs="Arial"/>
          <w:color w:val="000000"/>
        </w:rPr>
      </w:pPr>
    </w:p>
    <w:p w14:paraId="613E9286" w14:textId="77777777" w:rsidR="000F5886" w:rsidRDefault="00000000">
      <w:pPr>
        <w:pStyle w:val="Paragrafoelenco"/>
        <w:numPr>
          <w:ilvl w:val="0"/>
          <w:numId w:val="9"/>
        </w:numPr>
        <w:rPr>
          <w:rFonts w:cs="Arial"/>
          <w:b/>
          <w:bCs/>
        </w:rPr>
      </w:pPr>
      <w:r>
        <w:rPr>
          <w:rFonts w:cs="Arial"/>
          <w:b/>
          <w:bCs/>
        </w:rPr>
        <w:t>CLAUSOLA REVISIONE PREZZI</w:t>
      </w:r>
    </w:p>
    <w:p w14:paraId="3888125F" w14:textId="77777777" w:rsidR="000F5886" w:rsidRDefault="00000000">
      <w:pPr>
        <w:jc w:val="both"/>
        <w:rPr>
          <w:rFonts w:ascii="Garamond" w:hAnsi="Garamond" w:cs="Arial"/>
        </w:rPr>
      </w:pPr>
      <w:r>
        <w:rPr>
          <w:rFonts w:ascii="Garamond" w:hAnsi="Garamond" w:cs="Arial"/>
        </w:rPr>
        <w:t xml:space="preserve">Qualora nel corso dell’esecuzione del contratto si verifichino particolari condizioni di natura oggettiva che determinano una variazione del costo della fornitura, in aumento o in diminuzione, superiore al 5 per cento </w:t>
      </w:r>
      <w:r>
        <w:rPr>
          <w:rFonts w:ascii="Garamond" w:hAnsi="Garamond" w:cs="Arial"/>
        </w:rPr>
        <w:lastRenderedPageBreak/>
        <w:t xml:space="preserve">dell’importo complessivo e nei limiti della misura dell’80 per cento della variazione stessa, in relazione alle prestazioni da eseguire, si applicano le disposizioni di cui all’art. 60, d. lgs. n. 36/2023, in combinato disposto con quanto previsto dall’art. 29, comma 1, lett. a, del decreto legge n. 4/2022, convertito dalla legge n. 25/2022, </w:t>
      </w:r>
      <w:r>
        <w:rPr>
          <w:rFonts w:ascii="Garamond" w:hAnsi="Garamond" w:cs="Arial"/>
          <w:i/>
          <w:iCs/>
        </w:rPr>
        <w:t xml:space="preserve">ratione temporis </w:t>
      </w:r>
      <w:r>
        <w:rPr>
          <w:rFonts w:ascii="Garamond" w:hAnsi="Garamond" w:cs="Arial"/>
        </w:rPr>
        <w:t xml:space="preserve">applicabile. </w:t>
      </w:r>
    </w:p>
    <w:p w14:paraId="57358B5F" w14:textId="77777777" w:rsidR="000F5886" w:rsidRDefault="00000000">
      <w:pPr>
        <w:pStyle w:val="Titolo2"/>
        <w:tabs>
          <w:tab w:val="left" w:pos="426"/>
        </w:tabs>
        <w:spacing w:before="0"/>
        <w:ind w:left="426" w:hanging="426"/>
        <w:jc w:val="both"/>
        <w:rPr>
          <w:rFonts w:ascii="Garamond" w:hAnsi="Garamond"/>
          <w:sz w:val="22"/>
          <w:szCs w:val="22"/>
        </w:rPr>
      </w:pPr>
      <w:r>
        <w:rPr>
          <w:rFonts w:ascii="Garamond" w:eastAsia="Arial" w:hAnsi="Garamond" w:cs="Arial"/>
          <w:b w:val="0"/>
          <w:bCs w:val="0"/>
          <w:color w:val="000000"/>
          <w:sz w:val="22"/>
          <w:szCs w:val="22"/>
        </w:rPr>
        <w:t xml:space="preserve">                                                                </w:t>
      </w:r>
    </w:p>
    <w:p w14:paraId="3C309294" w14:textId="77777777" w:rsidR="000F5886" w:rsidRDefault="00000000">
      <w:pPr>
        <w:pStyle w:val="Paragrafoelenco"/>
        <w:numPr>
          <w:ilvl w:val="0"/>
          <w:numId w:val="9"/>
        </w:numPr>
        <w:rPr>
          <w:rFonts w:cs="Arial"/>
          <w:b/>
          <w:bCs/>
        </w:rPr>
      </w:pPr>
      <w:r>
        <w:rPr>
          <w:rFonts w:cs="Arial"/>
          <w:b/>
          <w:bCs/>
        </w:rPr>
        <w:t>DEFINIZIONE DELLE CONTROVERSIE</w:t>
      </w:r>
    </w:p>
    <w:p w14:paraId="2E741427" w14:textId="77777777" w:rsidR="000F5886" w:rsidRDefault="00000000">
      <w:pPr>
        <w:jc w:val="both"/>
        <w:rPr>
          <w:rFonts w:ascii="Garamond" w:hAnsi="Garamond" w:cs="Arial"/>
        </w:rPr>
      </w:pPr>
      <w:r>
        <w:rPr>
          <w:rFonts w:ascii="Garamond" w:hAnsi="Garamond" w:cs="Arial"/>
        </w:rPr>
        <w:t>Per le controversie derivanti dal contratto è competente il Foro di Catanzaro</w:t>
      </w:r>
      <w:r>
        <w:rPr>
          <w:rFonts w:ascii="Garamond" w:hAnsi="Garamond" w:cs="Arial"/>
          <w:i/>
          <w:iCs/>
        </w:rPr>
        <w:t>,</w:t>
      </w:r>
      <w:r>
        <w:rPr>
          <w:rFonts w:ascii="Garamond" w:hAnsi="Garamond" w:cs="Arial"/>
        </w:rPr>
        <w:t xml:space="preserve"> rimanendo espressamente esclusa la compromissione in arbitri.</w:t>
      </w:r>
    </w:p>
    <w:p w14:paraId="3635F496" w14:textId="77777777" w:rsidR="000F5886" w:rsidRDefault="000F5886">
      <w:pPr>
        <w:rPr>
          <w:rFonts w:ascii="Garamond" w:hAnsi="Garamond"/>
        </w:rPr>
      </w:pPr>
    </w:p>
    <w:p w14:paraId="4EF4DEDB" w14:textId="77777777" w:rsidR="000F5886" w:rsidRDefault="00000000">
      <w:pPr>
        <w:pStyle w:val="Paragrafoelenco"/>
        <w:numPr>
          <w:ilvl w:val="0"/>
          <w:numId w:val="9"/>
        </w:numPr>
        <w:rPr>
          <w:rFonts w:cs="Arial"/>
          <w:b/>
          <w:bCs/>
        </w:rPr>
      </w:pPr>
      <w:r>
        <w:rPr>
          <w:rFonts w:cs="Arial"/>
          <w:b/>
          <w:bCs/>
        </w:rPr>
        <w:t>TRATTAMENTO DEI DATI PERSONALI</w:t>
      </w:r>
    </w:p>
    <w:p w14:paraId="23165286" w14:textId="77777777" w:rsidR="000F5886" w:rsidRDefault="00000000">
      <w:pPr>
        <w:jc w:val="both"/>
        <w:rPr>
          <w:rFonts w:ascii="Garamond" w:hAnsi="Garamond"/>
        </w:rPr>
      </w:pPr>
      <w:r>
        <w:rPr>
          <w:rFonts w:ascii="Garamond" w:hAnsi="Garamond" w:cs="Arial"/>
        </w:rPr>
        <w:t xml:space="preserve">Con riferimento a quanto disposto dal Regolamento (UE) n. 2016/679 relativo alla protezione delle persone fisiche con riguardo al trattamento dei dati personali, nonché alla libera circolazione di tali dati (di seguito GDPR) e dalla relativa normativa di attuazione incluse le successive modifiche e integrazioni, si informa che il trattamento dei dati personali raccolti dalla Stazione Appaltante è finalizzato unicamente all’espletamento della presente procedura, nonché allo svolgimento delle attività ad essa correlate e/o comunque conseguenti. </w:t>
      </w:r>
    </w:p>
    <w:p w14:paraId="2A68A5CA" w14:textId="77777777" w:rsidR="000F5886" w:rsidRDefault="00000000">
      <w:pPr>
        <w:jc w:val="both"/>
        <w:rPr>
          <w:rFonts w:ascii="Garamond" w:hAnsi="Garamond"/>
        </w:rPr>
      </w:pPr>
      <w:r>
        <w:rPr>
          <w:rFonts w:ascii="Garamond" w:hAnsi="Garamond" w:cs="Arial"/>
        </w:rPr>
        <w:t>Il trattamento dei dati personali, quali definiti all’art. 1 del GDPR, acquisiti all’atto ed in costanza dell’espletamento della presente procedura di gara, avverrà nel rispetto dei principi di correttezza, liceità e trasparenza, ai sensi della vigente normativa, con particolare riguardo alle misure minime di sicurezza da adottare per la loro protezione. In particolare, in relazione alle descritte finalità, il trattamento di detti dati personali verrà effettuato con idonei strumenti (manuali, informatici e telematici), con logiche strettamente correlate alle indicate finalità e, comunque, in modo da garantire la sicurezza e la riservatezza dei dati stessi. I dati, proprio perché acquisiti all’atto ed in costanza dell’espletamento della presente procedura di gara, saranno soggetti a trattamenti in base ai criteri qualitativi, quantitativi e temporali di volta in volta individuati. Il trattamento dei dati giudiziari verrà svolto esclusivamente per valutare il possesso dei requisiti e delle qualità previsti dalla vigente normativa in materia di appalti pubblici. I dati personali acquisiti, all’atto ed in costanza dell’espletamento della presente procedura di gara, verranno conservati solo per il tempo strettamente necessario alle finalità per le quali vengono raccolti nel rispetto del principio di minimizzazione, ai sensi dell’art. 5 del GDPR e, dopo la cessazione della procedura per il tempo necessario per la gestione di specifici adempimenti contrattuali o di legge, nonché per finalità di natura amministrativa, fiscale e/o contributiva, per il periodo di tempo imposto da leggi e regolamenti. Nel caso di contenzioso, giudiziale o stragiudiziale, i dati personali acquisiti verranno conservati per tutta la durata dello stesso e, comunque, fino all’esaurimento dei termini di esperibilità di tutte le azioni di impugnazione.</w:t>
      </w:r>
    </w:p>
    <w:p w14:paraId="0BACF853" w14:textId="77777777" w:rsidR="000F5886" w:rsidRDefault="00000000">
      <w:pPr>
        <w:jc w:val="both"/>
        <w:rPr>
          <w:rFonts w:ascii="Garamond" w:hAnsi="Garamond"/>
        </w:rPr>
      </w:pPr>
      <w:r>
        <w:rPr>
          <w:rFonts w:ascii="Garamond" w:hAnsi="Garamond" w:cs="Arial"/>
        </w:rPr>
        <w:t>In qualunque momento, fermo il rispetto del principio della parità di trattamento, ciascun concorrente relativamente ai dati personali acquisiti, all’atto ed in esecuzione, sino alla cessazione di ogni rapporto, della presente procedura, potrà esercitare i diritti di cui all’art. 7 ed agli artt. 15-22 del GDPR nonché, in quanto applicabile, di cui all’art. 7 del Codice della Privacy (D. Lgs. n. 196/2003).</w:t>
      </w:r>
    </w:p>
    <w:p w14:paraId="05BF35A3" w14:textId="77777777" w:rsidR="000F5886" w:rsidRDefault="000F5886">
      <w:pPr>
        <w:rPr>
          <w:rFonts w:ascii="Garamond" w:hAnsi="Garamond" w:cs="Arial"/>
          <w:b/>
          <w:bCs/>
        </w:rPr>
      </w:pPr>
      <w:bookmarkStart w:id="4" w:name="bando"/>
      <w:bookmarkEnd w:id="4"/>
    </w:p>
    <w:p w14:paraId="13796B82" w14:textId="77777777" w:rsidR="000F5886" w:rsidRDefault="00000000">
      <w:pPr>
        <w:jc w:val="both"/>
        <w:rPr>
          <w:rFonts w:ascii="Garamond" w:hAnsi="Garamond"/>
        </w:rPr>
      </w:pPr>
      <w:r>
        <w:rPr>
          <w:rFonts w:ascii="Garamond" w:hAnsi="Garamond" w:cs="Arial"/>
          <w:b/>
          <w:bCs/>
          <w:color w:val="000000"/>
        </w:rPr>
        <w:t>IL PRESENTE DISCIPLINARE DI GARA DOVRA’ ESSERE SOTTOSCRITTO PER ACCETTAZIONE DAL LEGALE RAPPRESENTANTE DELLA DITTA, ANCHE DIGITALMENTE</w:t>
      </w:r>
    </w:p>
    <w:sectPr w:rsidR="000F5886">
      <w:headerReference w:type="default" r:id="rId9"/>
      <w:footerReference w:type="default" r:id="rId10"/>
      <w:pgSz w:w="11509" w:h="16390"/>
      <w:pgMar w:top="1987" w:right="1161" w:bottom="536" w:left="993" w:header="142"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856D6" w14:textId="77777777" w:rsidR="00045658" w:rsidRDefault="00045658">
      <w:r>
        <w:separator/>
      </w:r>
    </w:p>
  </w:endnote>
  <w:endnote w:type="continuationSeparator" w:id="0">
    <w:p w14:paraId="107B58B3" w14:textId="77777777" w:rsidR="00045658" w:rsidRDefault="0004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Antiqua;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3361713"/>
      <w:docPartObj>
        <w:docPartGallery w:val="Page Numbers (Bottom of Page)"/>
        <w:docPartUnique/>
      </w:docPartObj>
    </w:sdtPr>
    <w:sdtContent>
      <w:p w14:paraId="236174E5" w14:textId="2C1E7ACC" w:rsidR="00FB4B12" w:rsidRDefault="00FB4B12">
        <w:pPr>
          <w:pStyle w:val="Pidipagina"/>
          <w:jc w:val="right"/>
        </w:pPr>
        <w:r>
          <w:fldChar w:fldCharType="begin"/>
        </w:r>
        <w:r>
          <w:instrText>PAGE   \* MERGEFORMAT</w:instrText>
        </w:r>
        <w:r>
          <w:fldChar w:fldCharType="separate"/>
        </w:r>
        <w:r>
          <w:t>2</w:t>
        </w:r>
        <w:r>
          <w:fldChar w:fldCharType="end"/>
        </w:r>
      </w:p>
    </w:sdtContent>
  </w:sdt>
  <w:p w14:paraId="67779942" w14:textId="398E4E5F" w:rsidR="000F5886" w:rsidRDefault="000F588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3D810" w14:textId="77777777" w:rsidR="00045658" w:rsidRDefault="00045658">
      <w:r>
        <w:separator/>
      </w:r>
    </w:p>
  </w:footnote>
  <w:footnote w:type="continuationSeparator" w:id="0">
    <w:p w14:paraId="3B8E4B10" w14:textId="77777777" w:rsidR="00045658" w:rsidRDefault="00045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009F1" w14:textId="77777777" w:rsidR="000F5886" w:rsidRDefault="00000000">
    <w:pPr>
      <w:pStyle w:val="Intestazione"/>
    </w:pPr>
    <w:r>
      <w:rPr>
        <w:noProof/>
      </w:rPr>
      <w:drawing>
        <wp:inline distT="0" distB="0" distL="0" distR="0" wp14:anchorId="5B886710" wp14:editId="1AE6C10F">
          <wp:extent cx="1983105" cy="1293495"/>
          <wp:effectExtent l="0" t="0" r="0" b="0"/>
          <wp:docPr id="2" name="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3"/>
                  <pic:cNvPicPr>
                    <a:picLocks noChangeAspect="1" noChangeArrowheads="1"/>
                  </pic:cNvPicPr>
                </pic:nvPicPr>
                <pic:blipFill>
                  <a:blip r:embed="rId1"/>
                  <a:srcRect l="-261" t="-401" r="-261" b="-401"/>
                  <a:stretch>
                    <a:fillRect/>
                  </a:stretch>
                </pic:blipFill>
                <pic:spPr bwMode="auto">
                  <a:xfrm>
                    <a:off x="0" y="0"/>
                    <a:ext cx="1983105" cy="1293495"/>
                  </a:xfrm>
                  <a:prstGeom prst="rect">
                    <a:avLst/>
                  </a:prstGeom>
                </pic:spPr>
              </pic:pic>
            </a:graphicData>
          </a:graphic>
        </wp:inline>
      </w:drawing>
    </w:r>
    <w:r>
      <w:t xml:space="preserve">                                                                              </w:t>
    </w:r>
    <w:r>
      <w:rPr>
        <w:noProof/>
      </w:rPr>
      <w:drawing>
        <wp:inline distT="0" distB="0" distL="0" distR="0" wp14:anchorId="218913AC" wp14:editId="22C4824E">
          <wp:extent cx="877570" cy="1169035"/>
          <wp:effectExtent l="0" t="0" r="0" b="0"/>
          <wp:docPr id="3" name="Immagin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pic:cNvPicPr>
                    <a:picLocks noChangeAspect="1" noChangeArrowheads="1"/>
                  </pic:cNvPicPr>
                </pic:nvPicPr>
                <pic:blipFill>
                  <a:blip r:embed="rId2"/>
                  <a:srcRect l="-61" t="-56" r="-61" b="-56"/>
                  <a:stretch>
                    <a:fillRect/>
                  </a:stretch>
                </pic:blipFill>
                <pic:spPr bwMode="auto">
                  <a:xfrm>
                    <a:off x="0" y="0"/>
                    <a:ext cx="877570" cy="1169035"/>
                  </a:xfrm>
                  <a:prstGeom prst="rect">
                    <a:avLst/>
                  </a:prstGeom>
                </pic:spPr>
              </pic:pic>
            </a:graphicData>
          </a:graphic>
        </wp:inline>
      </w:drawing>
    </w:r>
    <w:r>
      <w:t xml:space="preserve">                  </w:t>
    </w:r>
  </w:p>
  <w:p w14:paraId="6E6A3079" w14:textId="77777777" w:rsidR="000F5886" w:rsidRDefault="000F5886">
    <w:pPr>
      <w:pStyle w:val="Intestazione"/>
    </w:pPr>
  </w:p>
  <w:p w14:paraId="7AD28E8F" w14:textId="77777777" w:rsidR="000F5886" w:rsidRDefault="00000000">
    <w:pPr>
      <w:pStyle w:val="Intestazione"/>
      <w:jc w:val="center"/>
      <w:rPr>
        <w:b/>
        <w:bCs/>
        <w:i/>
        <w:iCs/>
      </w:rPr>
    </w:pPr>
    <w:r>
      <w:rPr>
        <w:b/>
        <w:bCs/>
        <w:i/>
        <w:iCs/>
      </w:rPr>
      <w:t>ASP di Catanzaro UO Provveditorato Logistica Gestione Logistica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8102C0"/>
    <w:multiLevelType w:val="hybridMultilevel"/>
    <w:tmpl w:val="A1C217A2"/>
    <w:lvl w:ilvl="0" w:tplc="735281C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D073044"/>
    <w:multiLevelType w:val="multilevel"/>
    <w:tmpl w:val="C4FA3342"/>
    <w:lvl w:ilvl="0">
      <w:start w:val="1"/>
      <w:numFmt w:val="decimal"/>
      <w:lvlText w:val="%1."/>
      <w:lvlJc w:val="left"/>
      <w:pPr>
        <w:tabs>
          <w:tab w:val="num" w:pos="0"/>
        </w:tabs>
        <w:ind w:left="720" w:hanging="360"/>
      </w:pPr>
      <w:rPr>
        <w:rFonts w:cs="Arial"/>
        <w:b/>
        <w:bCs/>
      </w:r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4320" w:hanging="180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400" w:hanging="2160"/>
      </w:pPr>
    </w:lvl>
  </w:abstractNum>
  <w:abstractNum w:abstractNumId="2" w15:restartNumberingAfterBreak="0">
    <w:nsid w:val="2F977CBA"/>
    <w:multiLevelType w:val="multilevel"/>
    <w:tmpl w:val="980216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8153C9B"/>
    <w:multiLevelType w:val="multilevel"/>
    <w:tmpl w:val="A8E00F9A"/>
    <w:lvl w:ilvl="0">
      <w:start w:val="1"/>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B031B9D"/>
    <w:multiLevelType w:val="multilevel"/>
    <w:tmpl w:val="3896597C"/>
    <w:lvl w:ilvl="0">
      <w:start w:val="1"/>
      <w:numFmt w:val="bullet"/>
      <w:lvlText w:val=""/>
      <w:lvlJc w:val="left"/>
      <w:pPr>
        <w:tabs>
          <w:tab w:val="num" w:pos="1191"/>
        </w:tabs>
        <w:ind w:left="119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B4A1998"/>
    <w:multiLevelType w:val="multilevel"/>
    <w:tmpl w:val="06F085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C2F6F7A"/>
    <w:multiLevelType w:val="multilevel"/>
    <w:tmpl w:val="D4069BB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DBE3DDC"/>
    <w:multiLevelType w:val="multilevel"/>
    <w:tmpl w:val="DECA6BCE"/>
    <w:lvl w:ilvl="0">
      <w:start w:val="1"/>
      <w:numFmt w:val="bullet"/>
      <w:lvlText w:val="-"/>
      <w:lvlJc w:val="left"/>
      <w:pPr>
        <w:tabs>
          <w:tab w:val="num" w:pos="0"/>
        </w:tabs>
        <w:ind w:left="720" w:hanging="360"/>
      </w:pPr>
      <w:rPr>
        <w:rFonts w:ascii="Garamond" w:hAnsi="Garamond" w:cs="Garamond"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16A3959"/>
    <w:multiLevelType w:val="multilevel"/>
    <w:tmpl w:val="84F077CA"/>
    <w:lvl w:ilvl="0">
      <w:start w:val="1"/>
      <w:numFmt w:val="decimal"/>
      <w:suff w:val="nothing"/>
      <w:lvlText w:val="%1)"/>
      <w:lvlJc w:val="left"/>
      <w:pPr>
        <w:tabs>
          <w:tab w:val="num" w:pos="0"/>
        </w:tabs>
        <w:ind w:left="432" w:hanging="432"/>
      </w:pPr>
      <w:rPr>
        <w:rFonts w:ascii="Times New Roman" w:eastAsia="Arial Unicode MS" w:hAnsi="Times New Roman" w:cs="Tahoma"/>
        <w:bCs/>
        <w:color w:val="000000"/>
        <w:sz w:val="20"/>
        <w:szCs w:val="20"/>
        <w:lang w:eastAsia="en-US" w:bidi="en-U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77B64D92"/>
    <w:multiLevelType w:val="multilevel"/>
    <w:tmpl w:val="3E7A5548"/>
    <w:lvl w:ilvl="0">
      <w:start w:val="1"/>
      <w:numFmt w:val="bullet"/>
      <w:lvlText w:val="-"/>
      <w:lvlJc w:val="left"/>
      <w:pPr>
        <w:tabs>
          <w:tab w:val="num" w:pos="708"/>
        </w:tabs>
        <w:ind w:left="134"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6213185">
    <w:abstractNumId w:val="5"/>
  </w:num>
  <w:num w:numId="2" w16cid:durableId="834221866">
    <w:abstractNumId w:val="2"/>
  </w:num>
  <w:num w:numId="3" w16cid:durableId="1937866496">
    <w:abstractNumId w:val="3"/>
  </w:num>
  <w:num w:numId="4" w16cid:durableId="882794010">
    <w:abstractNumId w:val="8"/>
  </w:num>
  <w:num w:numId="5" w16cid:durableId="1992051601">
    <w:abstractNumId w:val="9"/>
  </w:num>
  <w:num w:numId="6" w16cid:durableId="2015641514">
    <w:abstractNumId w:val="7"/>
  </w:num>
  <w:num w:numId="7" w16cid:durableId="1007825140">
    <w:abstractNumId w:val="4"/>
  </w:num>
  <w:num w:numId="8" w16cid:durableId="1771467792">
    <w:abstractNumId w:val="6"/>
  </w:num>
  <w:num w:numId="9" w16cid:durableId="284848146">
    <w:abstractNumId w:val="1"/>
  </w:num>
  <w:num w:numId="10" w16cid:durableId="755588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886"/>
    <w:rsid w:val="00011E7A"/>
    <w:rsid w:val="00035C60"/>
    <w:rsid w:val="00045658"/>
    <w:rsid w:val="000548B5"/>
    <w:rsid w:val="000731A8"/>
    <w:rsid w:val="00077D1A"/>
    <w:rsid w:val="00091059"/>
    <w:rsid w:val="000C6907"/>
    <w:rsid w:val="000D12A5"/>
    <w:rsid w:val="000F5886"/>
    <w:rsid w:val="00121A83"/>
    <w:rsid w:val="00125421"/>
    <w:rsid w:val="00173BD9"/>
    <w:rsid w:val="001B62D4"/>
    <w:rsid w:val="00226AF0"/>
    <w:rsid w:val="00237DE4"/>
    <w:rsid w:val="002550CC"/>
    <w:rsid w:val="00263C1A"/>
    <w:rsid w:val="00275382"/>
    <w:rsid w:val="002A5021"/>
    <w:rsid w:val="002B1E10"/>
    <w:rsid w:val="002E51E7"/>
    <w:rsid w:val="003046C9"/>
    <w:rsid w:val="00307E01"/>
    <w:rsid w:val="00361D92"/>
    <w:rsid w:val="00363FAB"/>
    <w:rsid w:val="003E010C"/>
    <w:rsid w:val="003F31B2"/>
    <w:rsid w:val="00405AB0"/>
    <w:rsid w:val="00413C47"/>
    <w:rsid w:val="00443E42"/>
    <w:rsid w:val="00471652"/>
    <w:rsid w:val="00502CA7"/>
    <w:rsid w:val="005041E2"/>
    <w:rsid w:val="005538FF"/>
    <w:rsid w:val="005B1C03"/>
    <w:rsid w:val="005B37E0"/>
    <w:rsid w:val="00606898"/>
    <w:rsid w:val="00620165"/>
    <w:rsid w:val="0063038D"/>
    <w:rsid w:val="0064031D"/>
    <w:rsid w:val="0064134F"/>
    <w:rsid w:val="0064208E"/>
    <w:rsid w:val="00686906"/>
    <w:rsid w:val="006D03C8"/>
    <w:rsid w:val="006D16A5"/>
    <w:rsid w:val="006F0872"/>
    <w:rsid w:val="00702A66"/>
    <w:rsid w:val="007329F2"/>
    <w:rsid w:val="0073587F"/>
    <w:rsid w:val="00745007"/>
    <w:rsid w:val="0074716C"/>
    <w:rsid w:val="00780985"/>
    <w:rsid w:val="0078787B"/>
    <w:rsid w:val="0079490F"/>
    <w:rsid w:val="007F218D"/>
    <w:rsid w:val="00807174"/>
    <w:rsid w:val="0086367F"/>
    <w:rsid w:val="00887109"/>
    <w:rsid w:val="008A20B9"/>
    <w:rsid w:val="008D5424"/>
    <w:rsid w:val="008D603E"/>
    <w:rsid w:val="008D7D41"/>
    <w:rsid w:val="008E0A8A"/>
    <w:rsid w:val="008F507F"/>
    <w:rsid w:val="008F6477"/>
    <w:rsid w:val="0091107B"/>
    <w:rsid w:val="0091535A"/>
    <w:rsid w:val="00936419"/>
    <w:rsid w:val="00944D7C"/>
    <w:rsid w:val="00945CB3"/>
    <w:rsid w:val="00953A5A"/>
    <w:rsid w:val="00954232"/>
    <w:rsid w:val="00955C2E"/>
    <w:rsid w:val="00966AFC"/>
    <w:rsid w:val="00985F9E"/>
    <w:rsid w:val="00991C91"/>
    <w:rsid w:val="009A4706"/>
    <w:rsid w:val="009A5911"/>
    <w:rsid w:val="009E2E49"/>
    <w:rsid w:val="009F24B5"/>
    <w:rsid w:val="00A20BEF"/>
    <w:rsid w:val="00A42363"/>
    <w:rsid w:val="00A74FC7"/>
    <w:rsid w:val="00A911EC"/>
    <w:rsid w:val="00AE711E"/>
    <w:rsid w:val="00AF6E29"/>
    <w:rsid w:val="00B40821"/>
    <w:rsid w:val="00B573BF"/>
    <w:rsid w:val="00B657E7"/>
    <w:rsid w:val="00B72CD7"/>
    <w:rsid w:val="00BD42A8"/>
    <w:rsid w:val="00BE3563"/>
    <w:rsid w:val="00C10023"/>
    <w:rsid w:val="00C139C8"/>
    <w:rsid w:val="00C13E40"/>
    <w:rsid w:val="00C15A4E"/>
    <w:rsid w:val="00C31FAC"/>
    <w:rsid w:val="00C37A75"/>
    <w:rsid w:val="00CD2076"/>
    <w:rsid w:val="00D026DD"/>
    <w:rsid w:val="00D65614"/>
    <w:rsid w:val="00D70696"/>
    <w:rsid w:val="00D77A98"/>
    <w:rsid w:val="00D92BE7"/>
    <w:rsid w:val="00DC0AA2"/>
    <w:rsid w:val="00DE58E7"/>
    <w:rsid w:val="00E13203"/>
    <w:rsid w:val="00E13429"/>
    <w:rsid w:val="00E54F42"/>
    <w:rsid w:val="00E7070B"/>
    <w:rsid w:val="00E83FBE"/>
    <w:rsid w:val="00EC449E"/>
    <w:rsid w:val="00EE4B49"/>
    <w:rsid w:val="00F01855"/>
    <w:rsid w:val="00F07BF1"/>
    <w:rsid w:val="00F428ED"/>
    <w:rsid w:val="00F5438F"/>
    <w:rsid w:val="00F658EF"/>
    <w:rsid w:val="00F83D3C"/>
    <w:rsid w:val="00F874AB"/>
    <w:rsid w:val="00F92FA1"/>
    <w:rsid w:val="00F97333"/>
    <w:rsid w:val="00FB182B"/>
    <w:rsid w:val="00FB4B12"/>
    <w:rsid w:val="00FC26F5"/>
    <w:rsid w:val="00FD00E9"/>
    <w:rsid w:val="00FE432F"/>
    <w:rsid w:val="00FE4DC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A5D5D"/>
  <w15:docId w15:val="{3B0DBABA-0DD0-4F8A-A7A2-D10180F13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pPr>
      <w:widowControl w:val="0"/>
    </w:pPr>
    <w:rPr>
      <w:rFonts w:ascii="Times New Roman" w:eastAsia="Times New Roman" w:hAnsi="Times New Roman" w:cs="Times New Roman"/>
      <w:sz w:val="22"/>
      <w:lang w:val="it-IT"/>
    </w:rPr>
  </w:style>
  <w:style w:type="paragraph" w:styleId="Titolo1">
    <w:name w:val="heading 1"/>
    <w:basedOn w:val="Normale"/>
    <w:uiPriority w:val="1"/>
    <w:qFormat/>
    <w:pPr>
      <w:ind w:left="505"/>
      <w:outlineLvl w:val="0"/>
    </w:pPr>
    <w:rPr>
      <w:b/>
      <w:bCs/>
      <w:sz w:val="23"/>
      <w:szCs w:val="23"/>
    </w:rPr>
  </w:style>
  <w:style w:type="paragraph" w:styleId="Titolo2">
    <w:name w:val="heading 2"/>
    <w:basedOn w:val="Normale"/>
    <w:uiPriority w:val="1"/>
    <w:qFormat/>
    <w:pPr>
      <w:spacing w:before="1"/>
      <w:ind w:left="108"/>
      <w:outlineLvl w:val="1"/>
    </w:pPr>
    <w:rPr>
      <w:b/>
      <w:bCs/>
      <w:i/>
      <w:iCs/>
      <w:sz w:val="23"/>
      <w:szCs w:val="23"/>
    </w:rPr>
  </w:style>
  <w:style w:type="paragraph" w:styleId="Titolo3">
    <w:name w:val="heading 3"/>
    <w:basedOn w:val="Normale"/>
    <w:next w:val="Normale"/>
    <w:qFormat/>
    <w:pPr>
      <w:keepNext/>
      <w:numPr>
        <w:ilvl w:val="2"/>
        <w:numId w:val="1"/>
      </w:numPr>
      <w:spacing w:before="240" w:after="60"/>
      <w:outlineLvl w:val="2"/>
    </w:pPr>
    <w:rPr>
      <w:rFonts w:ascii="Calibri Light" w:hAnsi="Calibri Light"/>
      <w:b/>
      <w:bCs/>
      <w:sz w:val="26"/>
      <w:szCs w:val="26"/>
    </w:rPr>
  </w:style>
  <w:style w:type="paragraph" w:styleId="Titolo5">
    <w:name w:val="heading 5"/>
    <w:basedOn w:val="Normale"/>
    <w:next w:val="Normale"/>
    <w:link w:val="Titolo5Carattere"/>
    <w:uiPriority w:val="9"/>
    <w:semiHidden/>
    <w:unhideWhenUsed/>
    <w:qFormat/>
    <w:rsid w:val="0086367F"/>
    <w:pPr>
      <w:keepNext/>
      <w:keepLines/>
      <w:spacing w:before="4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6z0">
    <w:name w:val="WW8Num6z0"/>
    <w:qFormat/>
  </w:style>
  <w:style w:type="character" w:customStyle="1" w:styleId="WW8Num6z1">
    <w:name w:val="WW8Num6z1"/>
    <w:qFormat/>
    <w:rPr>
      <w:rFonts w:ascii="Arial Narrow" w:eastAsia="Calibri" w:hAnsi="Arial Narrow" w:cs="Arial Narrow"/>
      <w:color w:val="333333"/>
      <w:spacing w:val="3"/>
      <w:sz w:val="20"/>
      <w:szCs w:val="20"/>
    </w:rPr>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CollegamentoInternet">
    <w:name w:val="Collegamento Internet"/>
    <w:basedOn w:val="Carpredefinitoparagrafo"/>
    <w:uiPriority w:val="99"/>
    <w:unhideWhenUsed/>
    <w:rsid w:val="00EF426D"/>
    <w:rPr>
      <w:color w:val="0000FF" w:themeColor="hyperlink"/>
      <w:u w:val="single"/>
    </w:rPr>
  </w:style>
  <w:style w:type="character" w:customStyle="1" w:styleId="CollegamentoInternetvisitato">
    <w:name w:val="Collegamento Internet visitato"/>
    <w:rPr>
      <w:color w:val="800080"/>
      <w:u w:val="single"/>
    </w:rPr>
  </w:style>
  <w:style w:type="character" w:customStyle="1" w:styleId="WW8Num5z0">
    <w:name w:val="WW8Num5z0"/>
    <w:qFormat/>
    <w:rPr>
      <w:rFonts w:ascii="Wingdings" w:hAnsi="Wingdings" w:cs="Wingdings"/>
      <w:sz w:val="22"/>
      <w:szCs w:val="22"/>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2z0">
    <w:name w:val="WW8Num2z0"/>
    <w:qFormat/>
    <w:rPr>
      <w:rFonts w:ascii="Calibri" w:eastAsia="Arial Unicode MS" w:hAnsi="Calibri" w:cs="Tahoma"/>
      <w:bCs/>
      <w:color w:val="000000"/>
      <w:sz w:val="20"/>
      <w:szCs w:val="20"/>
      <w:lang w:eastAsia="en-US" w:bidi="en-U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hAnsi="Times New Roman" w:cs="Times New Roman"/>
      <w:i w:val="0"/>
      <w:color w:val="000000"/>
      <w:position w:val="0"/>
      <w:sz w:val="23"/>
      <w:szCs w:val="23"/>
      <w:shd w:val="clear" w:color="auto" w:fill="auto"/>
      <w:vertAlign w:val="baseline"/>
    </w:rPr>
  </w:style>
  <w:style w:type="character" w:customStyle="1" w:styleId="Carpredefinitoparagrafo1">
    <w:name w:val="Car. predefinito paragrafo1"/>
    <w:qFormat/>
  </w:style>
  <w:style w:type="character" w:customStyle="1" w:styleId="WW8Num4z0">
    <w:name w:val="WW8Num4z0"/>
    <w:qFormat/>
    <w:rPr>
      <w:rFonts w:ascii="Garamond" w:hAnsi="Garamond" w:cs="Garamond"/>
      <w:b/>
      <w:bCs/>
      <w:i w:val="0"/>
      <w:iCs w:val="0"/>
      <w:sz w:val="22"/>
      <w:szCs w:val="22"/>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sz w:val="20"/>
      <w:szCs w:val="20"/>
    </w:rPr>
  </w:style>
  <w:style w:type="character" w:customStyle="1" w:styleId="Caratteridinumerazione">
    <w:name w:val="Caratteri di numerazione"/>
    <w:qFormat/>
  </w:style>
  <w:style w:type="character" w:customStyle="1" w:styleId="Enfasiforte">
    <w:name w:val="Enfasi forte"/>
    <w:qFormat/>
    <w:rPr>
      <w:b/>
      <w:bCs/>
    </w:rPr>
  </w:style>
  <w:style w:type="character" w:styleId="Menzionenonrisolta">
    <w:name w:val="Unresolved Mention"/>
    <w:basedOn w:val="Carpredefinitoparagrafo"/>
    <w:uiPriority w:val="99"/>
    <w:semiHidden/>
    <w:unhideWhenUsed/>
    <w:qFormat/>
    <w:rsid w:val="00EF426D"/>
    <w:rPr>
      <w:color w:val="605E5C"/>
      <w:shd w:val="clear" w:color="auto" w:fill="E1DFDD"/>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uiPriority w:val="1"/>
    <w:qFormat/>
    <w:rPr>
      <w:sz w:val="23"/>
      <w:szCs w:val="23"/>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qFormat/>
    <w:pPr>
      <w:ind w:left="720"/>
      <w:jc w:val="both"/>
    </w:pPr>
    <w:rPr>
      <w:rFonts w:ascii="Garamond" w:eastAsia="Calibri" w:hAnsi="Garamond" w:cs="Garamond"/>
      <w:sz w:val="24"/>
      <w:szCs w:val="24"/>
    </w:rPr>
  </w:style>
  <w:style w:type="paragraph" w:customStyle="1" w:styleId="TableParagraph">
    <w:name w:val="Table Paragraph"/>
    <w:basedOn w:val="Normale"/>
    <w:uiPriority w:val="1"/>
    <w:qFormat/>
  </w:style>
  <w:style w:type="paragraph" w:customStyle="1" w:styleId="Contenutocornice">
    <w:name w:val="Contenuto cornice"/>
    <w:basedOn w:val="Normale"/>
    <w:qFormat/>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paragraph" w:customStyle="1" w:styleId="Intestazioneepidipagina">
    <w:name w:val="Intestazione e piè di pagina"/>
    <w:basedOn w:val="Normale"/>
    <w:qFormat/>
    <w:pPr>
      <w:suppressLineNumbers/>
      <w:tabs>
        <w:tab w:val="center" w:pos="4904"/>
        <w:tab w:val="right" w:pos="9809"/>
      </w:tabs>
    </w:pPr>
  </w:style>
  <w:style w:type="paragraph" w:styleId="Intestazione">
    <w:name w:val="header"/>
    <w:basedOn w:val="Intestazioneepidipagina"/>
  </w:style>
  <w:style w:type="paragraph" w:styleId="Pidipagina">
    <w:name w:val="footer"/>
    <w:basedOn w:val="Intestazioneepidipagina"/>
    <w:link w:val="PidipaginaCarattere"/>
    <w:uiPriority w:val="99"/>
  </w:style>
  <w:style w:type="paragraph" w:customStyle="1" w:styleId="Testocommento1">
    <w:name w:val="Testo commento1"/>
    <w:basedOn w:val="Normale"/>
    <w:qFormat/>
    <w:rPr>
      <w:rFonts w:ascii="Calibri" w:hAnsi="Calibri"/>
      <w:sz w:val="20"/>
      <w:szCs w:val="20"/>
    </w:rPr>
  </w:style>
  <w:style w:type="paragraph" w:customStyle="1" w:styleId="Default">
    <w:name w:val="Default"/>
    <w:qFormat/>
    <w:pPr>
      <w:widowControl w:val="0"/>
      <w:spacing w:line="276" w:lineRule="auto"/>
      <w:jc w:val="both"/>
    </w:pPr>
    <w:rPr>
      <w:rFonts w:ascii="Book-Antiqua;Bold" w:eastAsia="Calibri" w:hAnsi="Book-Antiqua;Bold" w:cs="Book-Antiqua;Bold"/>
      <w:color w:val="000000"/>
      <w:kern w:val="2"/>
      <w:sz w:val="24"/>
      <w:szCs w:val="24"/>
      <w:lang w:val="it-IT" w:eastAsia="zh-CN"/>
    </w:rPr>
  </w:style>
  <w:style w:type="paragraph" w:customStyle="1" w:styleId="Paragrafoelenco2">
    <w:name w:val="Paragrafo elenco2"/>
    <w:basedOn w:val="Normale"/>
    <w:qFormat/>
    <w:pPr>
      <w:ind w:left="720"/>
    </w:pPr>
    <w:rPr>
      <w:rFonts w:cs="Calibri"/>
    </w:rPr>
  </w:style>
  <w:style w:type="numbering" w:customStyle="1" w:styleId="WW8Num9">
    <w:name w:val="WW8Num9"/>
    <w:qFormat/>
  </w:style>
  <w:style w:type="numbering" w:customStyle="1" w:styleId="WW8Num6">
    <w:name w:val="WW8Num6"/>
    <w:qFormat/>
  </w:style>
  <w:style w:type="numbering" w:customStyle="1" w:styleId="WW8Num5">
    <w:name w:val="WW8Num5"/>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7">
    <w:name w:val="WW8Num7"/>
    <w:qFormat/>
  </w:style>
  <w:style w:type="numbering" w:customStyle="1" w:styleId="WW8Num8">
    <w:name w:val="WW8Num8"/>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PidipaginaCarattere">
    <w:name w:val="Piè di pagina Carattere"/>
    <w:basedOn w:val="Carpredefinitoparagrafo"/>
    <w:link w:val="Pidipagina"/>
    <w:uiPriority w:val="99"/>
    <w:rsid w:val="00FB4B12"/>
    <w:rPr>
      <w:rFonts w:ascii="Times New Roman" w:eastAsia="Times New Roman" w:hAnsi="Times New Roman" w:cs="Times New Roman"/>
      <w:sz w:val="22"/>
      <w:lang w:val="it-IT"/>
    </w:rPr>
  </w:style>
  <w:style w:type="character" w:customStyle="1" w:styleId="Titolo5Carattere">
    <w:name w:val="Titolo 5 Carattere"/>
    <w:basedOn w:val="Carpredefinitoparagrafo"/>
    <w:link w:val="Titolo5"/>
    <w:uiPriority w:val="9"/>
    <w:semiHidden/>
    <w:rsid w:val="0086367F"/>
    <w:rPr>
      <w:rFonts w:asciiTheme="majorHAnsi" w:eastAsiaTheme="majorEastAsia" w:hAnsiTheme="majorHAnsi" w:cstheme="majorBidi"/>
      <w:color w:val="365F91" w:themeColor="accent1" w:themeShade="BF"/>
      <w:sz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376171">
      <w:bodyDiv w:val="1"/>
      <w:marLeft w:val="0"/>
      <w:marRight w:val="0"/>
      <w:marTop w:val="0"/>
      <w:marBottom w:val="0"/>
      <w:divBdr>
        <w:top w:val="none" w:sz="0" w:space="0" w:color="auto"/>
        <w:left w:val="none" w:sz="0" w:space="0" w:color="auto"/>
        <w:bottom w:val="none" w:sz="0" w:space="0" w:color="auto"/>
        <w:right w:val="none" w:sz="0" w:space="0" w:color="auto"/>
      </w:divBdr>
    </w:div>
    <w:div w:id="675380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sp.cz.it/files/u13/Patto%20di%20Integrit&#2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40A1-A720-4B50-B0BC-59040B77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5</Pages>
  <Words>2797</Words>
  <Characters>15944</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48</cp:revision>
  <cp:lastPrinted>2024-03-08T10:51:00Z</cp:lastPrinted>
  <dcterms:created xsi:type="dcterms:W3CDTF">2023-07-27T11:15:00Z</dcterms:created>
  <dcterms:modified xsi:type="dcterms:W3CDTF">2024-08-02T11:02:00Z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2022-02-09T00:00:00Z</vt:filetime>
  </property>
  <property fmtid="{D5CDD505-2E9C-101B-9397-08002B2CF9AE}" pid="3" name="Creator">
    <vt:lpwstr>Brother Scanner System : MFC-L6800DW series</vt:lpwstr>
  </property>
  <property fmtid="{D5CDD505-2E9C-101B-9397-08002B2CF9AE}" pid="4" name="HyperlinksChanged">
    <vt:bool>false</vt:bool>
  </property>
  <property fmtid="{D5CDD505-2E9C-101B-9397-08002B2CF9AE}" pid="5" name="LastSaved">
    <vt:filetime>2022-02-09T00:00:00Z</vt:filetime>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